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F2A76" w:rsidRPr="004C4B30" w:rsidTr="00432CC7">
        <w:trPr>
          <w:trHeight w:hRule="exact" w:val="2977"/>
        </w:trPr>
        <w:tc>
          <w:tcPr>
            <w:tcW w:w="2409" w:type="dxa"/>
            <w:shd w:val="clear" w:color="auto" w:fill="auto"/>
          </w:tcPr>
          <w:p w:rsidR="00AF2A76" w:rsidRPr="004C4B30" w:rsidRDefault="00AF2A76" w:rsidP="00AF2A76">
            <w:pPr>
              <w:spacing w:line="226" w:lineRule="exact"/>
              <w:rPr>
                <w:rFonts w:eastAsia="Calibri"/>
                <w:b/>
                <w:sz w:val="17"/>
                <w:szCs w:val="17"/>
                <w:lang w:eastAsia="en-US"/>
              </w:rPr>
            </w:pPr>
            <w:r w:rsidRPr="004C4B30">
              <w:rPr>
                <w:rFonts w:eastAsia="Calibri"/>
                <w:b/>
                <w:sz w:val="17"/>
                <w:szCs w:val="17"/>
                <w:lang w:eastAsia="en-US"/>
              </w:rPr>
              <w:t>Schuler AG</w:t>
            </w:r>
          </w:p>
          <w:p w:rsidR="00AF2A76" w:rsidRPr="004C4B30" w:rsidRDefault="00AF2A76" w:rsidP="00AF2A76">
            <w:pPr>
              <w:spacing w:line="226" w:lineRule="exact"/>
              <w:rPr>
                <w:rFonts w:eastAsia="Calibri"/>
                <w:sz w:val="17"/>
                <w:szCs w:val="17"/>
                <w:lang w:eastAsia="en-US"/>
              </w:rPr>
            </w:pPr>
            <w:r w:rsidRPr="004C4B30">
              <w:rPr>
                <w:rFonts w:eastAsia="Calibri"/>
                <w:sz w:val="17"/>
                <w:szCs w:val="17"/>
                <w:lang w:eastAsia="en-US"/>
              </w:rPr>
              <w:t>Bahnhofstraße 41</w:t>
            </w:r>
          </w:p>
          <w:p w:rsidR="00AF2A76" w:rsidRPr="004C4B30" w:rsidRDefault="00AF2A76" w:rsidP="00AF2A76">
            <w:pPr>
              <w:spacing w:line="226" w:lineRule="exact"/>
              <w:rPr>
                <w:rFonts w:eastAsia="Calibri"/>
                <w:sz w:val="17"/>
                <w:szCs w:val="17"/>
                <w:lang w:eastAsia="en-US"/>
              </w:rPr>
            </w:pPr>
            <w:r w:rsidRPr="004C4B30">
              <w:rPr>
                <w:rFonts w:eastAsia="Calibri"/>
                <w:sz w:val="17"/>
                <w:szCs w:val="17"/>
                <w:lang w:eastAsia="en-US"/>
              </w:rPr>
              <w:t>73033 Göppingen</w:t>
            </w:r>
          </w:p>
          <w:p w:rsidR="00AF2A76" w:rsidRPr="004C4B30" w:rsidRDefault="00AF2A76" w:rsidP="00AF2A76">
            <w:pPr>
              <w:spacing w:line="226" w:lineRule="exact"/>
              <w:rPr>
                <w:rFonts w:eastAsia="Calibri"/>
                <w:sz w:val="17"/>
                <w:szCs w:val="17"/>
                <w:lang w:eastAsia="en-US"/>
              </w:rPr>
            </w:pPr>
          </w:p>
          <w:p w:rsidR="00AF2A76" w:rsidRPr="008E1F8F" w:rsidRDefault="00AF2A76" w:rsidP="00AF2A76">
            <w:pPr>
              <w:spacing w:line="226" w:lineRule="exact"/>
              <w:rPr>
                <w:rFonts w:eastAsia="Calibri"/>
                <w:b/>
                <w:sz w:val="17"/>
                <w:szCs w:val="17"/>
                <w:lang w:eastAsia="en-US"/>
              </w:rPr>
            </w:pPr>
            <w:r>
              <w:rPr>
                <w:rFonts w:eastAsia="Calibri"/>
                <w:b/>
                <w:sz w:val="17"/>
                <w:szCs w:val="17"/>
                <w:lang w:eastAsia="en-US"/>
              </w:rPr>
              <w:t>Hans Obermeier</w:t>
            </w:r>
          </w:p>
          <w:p w:rsidR="00AF2A76" w:rsidRPr="004C4B30" w:rsidRDefault="00AF2A76" w:rsidP="00AF2A76">
            <w:pPr>
              <w:spacing w:line="226" w:lineRule="exact"/>
              <w:rPr>
                <w:rFonts w:eastAsia="Calibri"/>
                <w:sz w:val="17"/>
                <w:szCs w:val="17"/>
                <w:lang w:eastAsia="en-US"/>
              </w:rPr>
            </w:pPr>
            <w:r>
              <w:rPr>
                <w:rFonts w:eastAsia="Calibri"/>
                <w:sz w:val="17"/>
                <w:szCs w:val="17"/>
                <w:lang w:eastAsia="en-US"/>
              </w:rPr>
              <w:t>Pressesprecher</w:t>
            </w:r>
          </w:p>
          <w:p w:rsidR="00AF2A76" w:rsidRPr="004C4B30" w:rsidRDefault="00AF2A76" w:rsidP="00AF2A76">
            <w:pPr>
              <w:spacing w:line="226" w:lineRule="exact"/>
              <w:rPr>
                <w:rFonts w:eastAsia="Calibri"/>
                <w:sz w:val="17"/>
                <w:szCs w:val="17"/>
                <w:lang w:eastAsia="en-US"/>
              </w:rPr>
            </w:pPr>
            <w:r>
              <w:rPr>
                <w:rFonts w:eastAsia="Calibri"/>
                <w:sz w:val="17"/>
                <w:szCs w:val="17"/>
                <w:lang w:eastAsia="en-US"/>
              </w:rPr>
              <w:t xml:space="preserve">Telefon +49 </w:t>
            </w:r>
            <w:r w:rsidRPr="00AF2A76">
              <w:rPr>
                <w:rFonts w:eastAsia="Calibri"/>
                <w:sz w:val="17"/>
                <w:szCs w:val="17"/>
                <w:lang w:eastAsia="en-US"/>
              </w:rPr>
              <w:t>151 1204 4531</w:t>
            </w:r>
          </w:p>
          <w:p w:rsidR="00AF2A76" w:rsidRPr="004C4B30" w:rsidRDefault="00AF2A76" w:rsidP="00AF2A76">
            <w:pPr>
              <w:spacing w:line="226" w:lineRule="exact"/>
              <w:rPr>
                <w:rFonts w:eastAsia="Calibri"/>
                <w:sz w:val="17"/>
                <w:szCs w:val="17"/>
                <w:lang w:eastAsia="en-US"/>
              </w:rPr>
            </w:pPr>
            <w:r w:rsidRPr="004C4B30">
              <w:rPr>
                <w:rFonts w:eastAsia="Calibri"/>
                <w:sz w:val="17"/>
                <w:szCs w:val="17"/>
                <w:lang w:eastAsia="en-US"/>
              </w:rPr>
              <w:t>Fax +49 7161 66-907</w:t>
            </w:r>
          </w:p>
          <w:p w:rsidR="00AF2A76" w:rsidRPr="004C4B30" w:rsidRDefault="00847D92" w:rsidP="00AF2A76">
            <w:pPr>
              <w:spacing w:line="226" w:lineRule="exact"/>
              <w:rPr>
                <w:rFonts w:eastAsia="Calibri"/>
                <w:sz w:val="17"/>
                <w:szCs w:val="17"/>
                <w:lang w:eastAsia="en-US"/>
              </w:rPr>
            </w:pPr>
            <w:hyperlink r:id="rId9" w:history="1">
              <w:r w:rsidR="007D76D1" w:rsidRPr="00A7105A">
                <w:rPr>
                  <w:rStyle w:val="Hyperlink"/>
                  <w:rFonts w:eastAsia="Calibri"/>
                  <w:sz w:val="17"/>
                  <w:szCs w:val="17"/>
                  <w:lang w:eastAsia="en-US"/>
                </w:rPr>
                <w:t>Hans.Obermeier@</w:t>
              </w:r>
              <w:r w:rsidR="007D76D1" w:rsidRPr="00A7105A">
                <w:rPr>
                  <w:rStyle w:val="Hyperlink"/>
                  <w:rFonts w:eastAsia="Calibri"/>
                  <w:sz w:val="17"/>
                  <w:szCs w:val="17"/>
                  <w:lang w:eastAsia="en-US"/>
                </w:rPr>
                <w:br/>
                <w:t>schulergroup.com</w:t>
              </w:r>
            </w:hyperlink>
          </w:p>
          <w:p w:rsidR="00AF2A76" w:rsidRPr="004C4B30" w:rsidRDefault="00847D92" w:rsidP="00AF2A76">
            <w:pPr>
              <w:spacing w:line="226" w:lineRule="exact"/>
              <w:rPr>
                <w:rFonts w:eastAsia="Calibri"/>
                <w:sz w:val="17"/>
                <w:szCs w:val="17"/>
                <w:lang w:eastAsia="en-US"/>
              </w:rPr>
            </w:pPr>
            <w:hyperlink r:id="rId10" w:history="1">
              <w:r w:rsidR="00AF2A76" w:rsidRPr="008E1F8F">
                <w:rPr>
                  <w:rStyle w:val="Hyperlink"/>
                  <w:rFonts w:eastAsia="Calibri"/>
                  <w:sz w:val="17"/>
                  <w:szCs w:val="17"/>
                  <w:lang w:eastAsia="en-US"/>
                </w:rPr>
                <w:t>www.schulergroup.com/pr</w:t>
              </w:r>
            </w:hyperlink>
          </w:p>
        </w:tc>
      </w:tr>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sz w:val="17"/>
                <w:szCs w:val="17"/>
                <w:lang w:eastAsia="en-US"/>
              </w:rPr>
            </w:pPr>
          </w:p>
          <w:p w:rsidR="004C4B30" w:rsidRPr="004C4B30" w:rsidRDefault="004C4B30" w:rsidP="008E1F8F">
            <w:pPr>
              <w:spacing w:line="226" w:lineRule="exact"/>
              <w:rPr>
                <w:rFonts w:eastAsia="Calibri"/>
                <w:sz w:val="17"/>
                <w:szCs w:val="17"/>
                <w:lang w:eastAsia="en-US"/>
              </w:rPr>
            </w:pPr>
          </w:p>
        </w:tc>
      </w:tr>
    </w:tbl>
    <w:p w:rsidR="007E1606" w:rsidRDefault="00CB4BBE" w:rsidP="00CB4BBE">
      <w:pPr>
        <w:pStyle w:val="berschrift1"/>
      </w:pPr>
      <w:r>
        <w:t>[SPERRFRIST: 03.03.2017, 10.30 Uhr]</w:t>
      </w:r>
    </w:p>
    <w:p w:rsidR="00476D9C" w:rsidRDefault="00476D9C" w:rsidP="007E132D"/>
    <w:p w:rsidR="009D02B8" w:rsidRDefault="009D02B8" w:rsidP="007E132D"/>
    <w:p w:rsidR="00476D9C" w:rsidRDefault="00476D9C" w:rsidP="007E132D"/>
    <w:p w:rsidR="00617FB3" w:rsidRDefault="00617FB3" w:rsidP="00365A9E">
      <w:pPr>
        <w:pStyle w:val="berschrift1"/>
      </w:pPr>
      <w:r>
        <w:t xml:space="preserve">Schuler </w:t>
      </w:r>
      <w:r w:rsidR="006908E0">
        <w:t>verbucht 2016 deutlich mehr Aufträge</w:t>
      </w:r>
    </w:p>
    <w:p w:rsidR="00476D9C" w:rsidRPr="00476D9C" w:rsidRDefault="00C70235" w:rsidP="00365A9E">
      <w:pPr>
        <w:pStyle w:val="berschrift1"/>
        <w:rPr>
          <w:sz w:val="2"/>
        </w:rPr>
      </w:pPr>
      <w:r>
        <w:t xml:space="preserve"> </w:t>
      </w:r>
      <w:r w:rsidR="00F733D5">
        <w:t xml:space="preserve"> </w:t>
      </w:r>
    </w:p>
    <w:p w:rsidR="006C730C" w:rsidRDefault="001852B3" w:rsidP="0047180C">
      <w:pPr>
        <w:pStyle w:val="berschrift2"/>
        <w:numPr>
          <w:ilvl w:val="0"/>
          <w:numId w:val="14"/>
        </w:numPr>
      </w:pPr>
      <w:r>
        <w:t xml:space="preserve">Übernahmen von </w:t>
      </w:r>
      <w:proofErr w:type="spellStart"/>
      <w:r w:rsidR="00480D95">
        <w:t>Yadon</w:t>
      </w:r>
      <w:proofErr w:type="spellEnd"/>
      <w:r w:rsidR="00480D95">
        <w:t xml:space="preserve"> und AWEBA stärken </w:t>
      </w:r>
      <w:r>
        <w:t>Konzerne</w:t>
      </w:r>
      <w:r w:rsidR="00C70235">
        <w:t>rgebnis</w:t>
      </w:r>
    </w:p>
    <w:p w:rsidR="00476D9C" w:rsidRDefault="00DB04FA" w:rsidP="0047180C">
      <w:pPr>
        <w:pStyle w:val="berschrift2"/>
        <w:numPr>
          <w:ilvl w:val="0"/>
          <w:numId w:val="14"/>
        </w:numPr>
      </w:pPr>
      <w:r>
        <w:t>EBITDA-Marge</w:t>
      </w:r>
      <w:r w:rsidR="00480D95">
        <w:t xml:space="preserve"> 2016</w:t>
      </w:r>
      <w:r>
        <w:t xml:space="preserve"> mit 10,</w:t>
      </w:r>
      <w:r w:rsidR="00166EF0">
        <w:t>4</w:t>
      </w:r>
      <w:r>
        <w:t xml:space="preserve"> Prozent erneut zweistellig</w:t>
      </w:r>
    </w:p>
    <w:p w:rsidR="00692415" w:rsidRDefault="00C70235" w:rsidP="00692415">
      <w:pPr>
        <w:pStyle w:val="berschrift2"/>
        <w:numPr>
          <w:ilvl w:val="0"/>
          <w:numId w:val="14"/>
        </w:numPr>
      </w:pPr>
      <w:r>
        <w:t xml:space="preserve">Digitalisierung </w:t>
      </w:r>
      <w:r w:rsidR="007B5B2D">
        <w:t>und E-Mobilität als Wachstumstreiber</w:t>
      </w:r>
    </w:p>
    <w:p w:rsidR="002A6D71" w:rsidRPr="002A6D71" w:rsidRDefault="002A6D71" w:rsidP="002A6D71"/>
    <w:p w:rsidR="00B066AC" w:rsidRDefault="00C82B81" w:rsidP="00E50F8F">
      <w:r>
        <w:rPr>
          <w:i/>
        </w:rPr>
        <w:t xml:space="preserve">Göppingen, </w:t>
      </w:r>
      <w:r w:rsidR="00E41AB6">
        <w:rPr>
          <w:i/>
        </w:rPr>
        <w:t>0</w:t>
      </w:r>
      <w:r w:rsidR="00130B60">
        <w:rPr>
          <w:i/>
        </w:rPr>
        <w:t>3</w:t>
      </w:r>
      <w:r w:rsidR="00DC5DAA">
        <w:rPr>
          <w:i/>
        </w:rPr>
        <w:t>.</w:t>
      </w:r>
      <w:r w:rsidR="00E41AB6">
        <w:rPr>
          <w:i/>
        </w:rPr>
        <w:t>03</w:t>
      </w:r>
      <w:r w:rsidR="005833D5" w:rsidRPr="005833D5">
        <w:rPr>
          <w:i/>
        </w:rPr>
        <w:t>.201</w:t>
      </w:r>
      <w:r w:rsidR="00130B60">
        <w:rPr>
          <w:i/>
        </w:rPr>
        <w:t>7</w:t>
      </w:r>
      <w:r w:rsidR="005833D5" w:rsidRPr="005833D5">
        <w:rPr>
          <w:i/>
        </w:rPr>
        <w:t xml:space="preserve"> </w:t>
      </w:r>
      <w:r w:rsidR="000F2F77">
        <w:t>–</w:t>
      </w:r>
      <w:r w:rsidR="00E23EF1">
        <w:t xml:space="preserve"> </w:t>
      </w:r>
      <w:r w:rsidR="00FA05BB">
        <w:t>Beim Pressenhers</w:t>
      </w:r>
      <w:r w:rsidR="00E23EF1">
        <w:t xml:space="preserve">teller Schuler </w:t>
      </w:r>
      <w:r w:rsidR="00DC5DAA">
        <w:t xml:space="preserve">AG </w:t>
      </w:r>
      <w:r w:rsidR="00FA05BB">
        <w:t xml:space="preserve">haben die </w:t>
      </w:r>
      <w:r w:rsidR="004469A3">
        <w:t xml:space="preserve">2016 </w:t>
      </w:r>
      <w:r w:rsidR="00072575">
        <w:t xml:space="preserve">übernommenen </w:t>
      </w:r>
      <w:r w:rsidR="00CC5432">
        <w:t>To</w:t>
      </w:r>
      <w:r w:rsidR="00FA05BB">
        <w:t>chter</w:t>
      </w:r>
      <w:r w:rsidR="00CC5432">
        <w:t>gesellschaften</w:t>
      </w:r>
      <w:r w:rsidR="00FA05BB">
        <w:t xml:space="preserve"> AWEBA und </w:t>
      </w:r>
      <w:proofErr w:type="spellStart"/>
      <w:r w:rsidR="00FA05BB">
        <w:t>Y</w:t>
      </w:r>
      <w:r w:rsidR="00072575">
        <w:t>adon</w:t>
      </w:r>
      <w:proofErr w:type="spellEnd"/>
      <w:r w:rsidR="00FA05BB">
        <w:t xml:space="preserve"> </w:t>
      </w:r>
      <w:r w:rsidR="004469A3">
        <w:t xml:space="preserve">bereits im ersten Jahr </w:t>
      </w:r>
      <w:r w:rsidR="00390E80">
        <w:t xml:space="preserve">positiv zu </w:t>
      </w:r>
      <w:r w:rsidR="007C0127">
        <w:t xml:space="preserve">Wachstum und </w:t>
      </w:r>
      <w:r w:rsidR="00390E80">
        <w:t xml:space="preserve">Ergebnis beigetragen. </w:t>
      </w:r>
      <w:r w:rsidR="00CC5432">
        <w:t xml:space="preserve">Konzernweit verbuchte der Weltmarktführer aus Göppingen vor allem beim Auftragseingang (+17,6 Prozent) und beim Auftragsbestand (+13,5 Prozent) deutliche Zuwachsraten. Bis Jahresende </w:t>
      </w:r>
      <w:r w:rsidR="0015001C">
        <w:t xml:space="preserve"> </w:t>
      </w:r>
      <w:r w:rsidR="00CC5432">
        <w:t>gingen Bestellungen in Höhe von 1,20 (</w:t>
      </w:r>
      <w:proofErr w:type="spellStart"/>
      <w:r w:rsidR="00CC5432">
        <w:t>Vj</w:t>
      </w:r>
      <w:proofErr w:type="spellEnd"/>
      <w:r w:rsidR="00CC5432">
        <w:t xml:space="preserve">. 1,02) Mrd. Euro ein. Der Auftragsbestand stieg zum 31.12. </w:t>
      </w:r>
      <w:r w:rsidR="0015001C">
        <w:t xml:space="preserve">2016 </w:t>
      </w:r>
      <w:r w:rsidR="00CC5432">
        <w:t xml:space="preserve">auf 1,01 (0,89) Mrd. Euro. Nach schwächerem Jahresauftakt erreichte </w:t>
      </w:r>
      <w:r w:rsidR="006908E0">
        <w:t>d</w:t>
      </w:r>
      <w:r w:rsidR="00390E80">
        <w:t xml:space="preserve">er Konzernumsatz mit </w:t>
      </w:r>
      <w:r w:rsidR="00072575">
        <w:t xml:space="preserve">über </w:t>
      </w:r>
      <w:r w:rsidR="00390E80">
        <w:t xml:space="preserve">1,17 (1,20) Mrd. Euro fast Vorjahresniveau. </w:t>
      </w:r>
      <w:r w:rsidR="008165FD">
        <w:t xml:space="preserve">Der Betriebsgewinn (EBITDA) </w:t>
      </w:r>
      <w:r w:rsidR="000B30FE">
        <w:t xml:space="preserve">betrug </w:t>
      </w:r>
      <w:r w:rsidR="008165FD">
        <w:t>122,</w:t>
      </w:r>
      <w:r w:rsidR="00377903">
        <w:t>6</w:t>
      </w:r>
      <w:r w:rsidR="008165FD">
        <w:t xml:space="preserve"> Mio. Euro</w:t>
      </w:r>
      <w:r w:rsidR="000B30FE">
        <w:t xml:space="preserve"> und lag damit weit über dem unbereinigten </w:t>
      </w:r>
      <w:r w:rsidR="0015001C">
        <w:t>Vergleichs</w:t>
      </w:r>
      <w:r w:rsidR="000B30FE">
        <w:t>wert von 70,9 Mio. Euro.</w:t>
      </w:r>
    </w:p>
    <w:p w:rsidR="00B066AC" w:rsidRDefault="00B066AC" w:rsidP="00E50F8F"/>
    <w:p w:rsidR="000B30FE" w:rsidRPr="007B18EA" w:rsidRDefault="000B30FE" w:rsidP="00E50F8F">
      <w:r w:rsidRPr="007B18EA">
        <w:t>Ohne die Sonderbelastungen aus der Umstrukturierung der Produktion</w:t>
      </w:r>
      <w:r w:rsidR="000262E3" w:rsidRPr="007B18EA">
        <w:t xml:space="preserve"> in Deutschland</w:t>
      </w:r>
      <w:r w:rsidRPr="007B18EA">
        <w:t xml:space="preserve"> </w:t>
      </w:r>
      <w:r w:rsidR="002B65A6" w:rsidRPr="007B18EA">
        <w:t>in Höhe von rund 73 Mio. Euro gerechnet</w:t>
      </w:r>
      <w:r w:rsidR="00DA1C30" w:rsidRPr="007B18EA">
        <w:t>,</w:t>
      </w:r>
      <w:r w:rsidRPr="007B18EA">
        <w:t xml:space="preserve"> hatte Schuler</w:t>
      </w:r>
      <w:r w:rsidR="0015001C" w:rsidRPr="007B18EA">
        <w:t xml:space="preserve"> beim </w:t>
      </w:r>
      <w:r w:rsidRPr="007B18EA">
        <w:t xml:space="preserve">EBITDA 2015 den Rekordwert von 138,8 Mio. Euro erreicht. </w:t>
      </w:r>
      <w:r w:rsidR="002B65A6" w:rsidRPr="007B18EA">
        <w:t>Aus der Abwicklung des Strukturkonzepts flossen 2016 Sondererträge in Höhe von 13 Mio. Euro in das Ergebnis ein. Einschließlich dieser Erträge blieb d</w:t>
      </w:r>
      <w:r w:rsidR="0015001C" w:rsidRPr="007B18EA">
        <w:t xml:space="preserve">ie </w:t>
      </w:r>
      <w:r w:rsidRPr="007B18EA">
        <w:lastRenderedPageBreak/>
        <w:t>EBITDA-Marge als Maßstab für die Unternehmensrentabilität 2016 mit 10,4 (</w:t>
      </w:r>
      <w:r w:rsidR="002B65A6" w:rsidRPr="007B18EA">
        <w:t xml:space="preserve">Vorjahr </w:t>
      </w:r>
      <w:r w:rsidRPr="007B18EA">
        <w:t xml:space="preserve">bereinigt 11,6) Prozent erneut zweistellig und lag damit </w:t>
      </w:r>
      <w:r w:rsidR="002B65A6" w:rsidRPr="007B18EA">
        <w:t>in der Spitzengruppe des deutschen Maschinen- und Anlagenbaus</w:t>
      </w:r>
      <w:r w:rsidRPr="007B18EA">
        <w:t>.</w:t>
      </w:r>
    </w:p>
    <w:p w:rsidR="000B30FE" w:rsidRPr="007B18EA" w:rsidRDefault="000B30FE" w:rsidP="00E50F8F"/>
    <w:p w:rsidR="00104F2C" w:rsidRDefault="004469A3" w:rsidP="00E50F8F">
      <w:r>
        <w:t xml:space="preserve">Vor Steuern verdiente Schuler 2016 mit </w:t>
      </w:r>
      <w:r w:rsidR="009C147A">
        <w:t xml:space="preserve">95,1 Mio. Euro weit </w:t>
      </w:r>
      <w:r>
        <w:t xml:space="preserve">mehr als den </w:t>
      </w:r>
      <w:r w:rsidR="009C147A">
        <w:t xml:space="preserve">unbereinigten Vorjahreswert von 44,0 Mio. Euro. Bereinigt um die Restrukturierungseffekte waren es 116,6 Mio. Euro gewesen. </w:t>
      </w:r>
      <w:r w:rsidR="00DB2BB2">
        <w:t xml:space="preserve">Die neuen Konzerngesellschaften, der chinesische Pressenhersteller </w:t>
      </w:r>
      <w:proofErr w:type="spellStart"/>
      <w:r w:rsidR="00DB2BB2">
        <w:t>Yadon</w:t>
      </w:r>
      <w:proofErr w:type="spellEnd"/>
      <w:r w:rsidR="00DB2BB2">
        <w:t xml:space="preserve"> (per </w:t>
      </w:r>
      <w:r w:rsidR="00DA1C30">
        <w:t>0</w:t>
      </w:r>
      <w:r w:rsidR="00DB2BB2">
        <w:t>1.</w:t>
      </w:r>
      <w:r w:rsidR="00DA1C30">
        <w:t>0</w:t>
      </w:r>
      <w:r w:rsidR="00DB2BB2">
        <w:t>4.) und der sächsische Werkzeugbauer AWEBA (per</w:t>
      </w:r>
      <w:r w:rsidR="00DA1C30">
        <w:t xml:space="preserve"> </w:t>
      </w:r>
      <w:r w:rsidR="00DB2BB2">
        <w:t>30.</w:t>
      </w:r>
      <w:r w:rsidR="00DA1C30">
        <w:t>0</w:t>
      </w:r>
      <w:r w:rsidR="00DB2BB2">
        <w:t>6.), trugen 2016 zeitanteilig gerechnet insgesamt knapp 120 Mio. Euro zum Konzernumsatz und knapp 17 Mio. Euro zum EBITDA bei.</w:t>
      </w:r>
    </w:p>
    <w:p w:rsidR="00104F2C" w:rsidRDefault="00104F2C" w:rsidP="00E50F8F"/>
    <w:p w:rsidR="00D43E4E" w:rsidRPr="00D43E4E" w:rsidRDefault="00072575" w:rsidP="00E50F8F">
      <w:pPr>
        <w:rPr>
          <w:b/>
        </w:rPr>
      </w:pPr>
      <w:r>
        <w:rPr>
          <w:b/>
        </w:rPr>
        <w:t xml:space="preserve">Umsatz und Ergebnis sollen </w:t>
      </w:r>
      <w:r w:rsidR="00D43E4E">
        <w:rPr>
          <w:b/>
        </w:rPr>
        <w:t>2017</w:t>
      </w:r>
      <w:r>
        <w:rPr>
          <w:b/>
        </w:rPr>
        <w:t xml:space="preserve"> spürbar steigen</w:t>
      </w:r>
    </w:p>
    <w:p w:rsidR="004D48E7" w:rsidRDefault="009C147A" w:rsidP="00E50F8F">
      <w:r>
        <w:t xml:space="preserve"> </w:t>
      </w:r>
      <w:r w:rsidR="004D48E7">
        <w:t>„</w:t>
      </w:r>
      <w:r w:rsidR="00356F4D">
        <w:t>Wir gehen durch den höheren Auftrags</w:t>
      </w:r>
      <w:r w:rsidR="006908E0">
        <w:t>eingang</w:t>
      </w:r>
      <w:r w:rsidR="00356F4D">
        <w:t xml:space="preserve"> mit </w:t>
      </w:r>
      <w:r w:rsidR="006908E0">
        <w:t>kräftigem</w:t>
      </w:r>
      <w:r w:rsidR="001852B3">
        <w:t xml:space="preserve"> </w:t>
      </w:r>
      <w:r w:rsidR="00356F4D">
        <w:t>Rücke</w:t>
      </w:r>
      <w:r w:rsidR="00770316">
        <w:t>nwind in das neue Geschäftsjahr“</w:t>
      </w:r>
      <w:r w:rsidR="000262E3">
        <w:t>,</w:t>
      </w:r>
      <w:r w:rsidR="00770316" w:rsidRPr="00770316">
        <w:t xml:space="preserve"> </w:t>
      </w:r>
      <w:r w:rsidR="00770316">
        <w:t xml:space="preserve">sagte Vorstandsvorsitzender Stefan </w:t>
      </w:r>
      <w:proofErr w:type="spellStart"/>
      <w:r w:rsidR="00770316">
        <w:t>Klebert</w:t>
      </w:r>
      <w:proofErr w:type="spellEnd"/>
      <w:r w:rsidR="00770316">
        <w:t xml:space="preserve"> bei der Bilanzvorlage </w:t>
      </w:r>
      <w:r w:rsidR="00770316" w:rsidRPr="00E50F8F">
        <w:t xml:space="preserve">in </w:t>
      </w:r>
      <w:r w:rsidR="00770316">
        <w:t>Göppingen. „</w:t>
      </w:r>
      <w:r w:rsidR="002F1C36">
        <w:t xml:space="preserve">Die </w:t>
      </w:r>
      <w:r w:rsidR="006A04A0">
        <w:t xml:space="preserve">Investitionsneigung unserer Kunden hat zugenommen, die Delle bei Umsatz und Auftragseingang Anfang 2016 liegt hinter uns. Das vergangene Jahr hat </w:t>
      </w:r>
      <w:r w:rsidR="00DB2BB2">
        <w:t xml:space="preserve">zudem </w:t>
      </w:r>
      <w:r w:rsidR="006A04A0">
        <w:t xml:space="preserve">bewiesen, dass </w:t>
      </w:r>
      <w:r w:rsidR="00770316">
        <w:t xml:space="preserve">wir mit der Übernahme des sächsischen Werkzeugbauers AWEBA und des chinesischen Pressenherstellers </w:t>
      </w:r>
      <w:proofErr w:type="spellStart"/>
      <w:r w:rsidR="00770316">
        <w:t>Yadon</w:t>
      </w:r>
      <w:proofErr w:type="spellEnd"/>
      <w:r w:rsidR="00770316">
        <w:t xml:space="preserve"> strategisch richtig gehandelt haben. Beide Unternehmen öffnen Schuler</w:t>
      </w:r>
      <w:r w:rsidR="001852B3">
        <w:t xml:space="preserve"> </w:t>
      </w:r>
      <w:r w:rsidR="00770316">
        <w:t xml:space="preserve">neue Märkte und </w:t>
      </w:r>
      <w:r w:rsidR="006A04A0">
        <w:t>entwickeln sich überdurchschnittlich</w:t>
      </w:r>
      <w:r w:rsidR="00770316">
        <w:t>.</w:t>
      </w:r>
      <w:r w:rsidR="004D48E7">
        <w:t>“</w:t>
      </w:r>
    </w:p>
    <w:p w:rsidR="004D48E7" w:rsidRDefault="004D48E7" w:rsidP="00E50F8F"/>
    <w:p w:rsidR="002C201D" w:rsidRDefault="00770316" w:rsidP="00E50F8F">
      <w:r>
        <w:t xml:space="preserve">Schuler rechnet damit, im laufenden Geschäftsjahr </w:t>
      </w:r>
      <w:r w:rsidR="00EE69FD">
        <w:t xml:space="preserve">2017 </w:t>
      </w:r>
      <w:r>
        <w:t xml:space="preserve">Umsatz und Ergebnis  </w:t>
      </w:r>
      <w:r w:rsidR="00B066AC">
        <w:t xml:space="preserve">spürbar </w:t>
      </w:r>
      <w:r>
        <w:t xml:space="preserve">steigern zu können. </w:t>
      </w:r>
      <w:r w:rsidR="006908E0">
        <w:t xml:space="preserve">Die verbesserte Orderlage, </w:t>
      </w:r>
      <w:r w:rsidR="009F3063">
        <w:t xml:space="preserve"> günstigere Kostenstrukturen in Deutschland durch </w:t>
      </w:r>
      <w:r w:rsidR="00EE69FD">
        <w:t>die</w:t>
      </w:r>
      <w:r w:rsidR="009F3063">
        <w:t xml:space="preserve"> </w:t>
      </w:r>
      <w:r w:rsidR="00072575">
        <w:t xml:space="preserve">fast abgeschlossene </w:t>
      </w:r>
      <w:r w:rsidR="009F3063">
        <w:t xml:space="preserve"> </w:t>
      </w:r>
      <w:r w:rsidR="00EE69FD">
        <w:t xml:space="preserve">Konzentration der </w:t>
      </w:r>
      <w:r w:rsidR="009F3063">
        <w:t>Produktion</w:t>
      </w:r>
      <w:r w:rsidR="00EE69FD">
        <w:t xml:space="preserve"> auf vier Standorte</w:t>
      </w:r>
      <w:r w:rsidR="009F3063">
        <w:t xml:space="preserve"> und die erstmals ganzjährigen Ergebnisbeiträge von </w:t>
      </w:r>
      <w:proofErr w:type="spellStart"/>
      <w:r w:rsidR="009F3063">
        <w:t>Yadon</w:t>
      </w:r>
      <w:proofErr w:type="spellEnd"/>
      <w:r w:rsidR="009F3063">
        <w:t xml:space="preserve"> und AWEBA </w:t>
      </w:r>
      <w:r w:rsidR="00EE69FD">
        <w:t xml:space="preserve">werden </w:t>
      </w:r>
      <w:r w:rsidR="009F3063">
        <w:t xml:space="preserve">für positive </w:t>
      </w:r>
      <w:r w:rsidR="009F3063">
        <w:lastRenderedPageBreak/>
        <w:t>Impulse</w:t>
      </w:r>
      <w:r w:rsidR="00EE69FD">
        <w:t xml:space="preserve"> sorgen</w:t>
      </w:r>
      <w:r w:rsidR="009F3063">
        <w:t>.</w:t>
      </w:r>
      <w:r w:rsidR="00A71C85">
        <w:t xml:space="preserve"> Mit Blick auf die makroökonomischen Rahmenbedingungen </w:t>
      </w:r>
      <w:r w:rsidR="002C201D">
        <w:t>erwartet</w:t>
      </w:r>
      <w:r w:rsidR="00A71C85">
        <w:t xml:space="preserve"> Schuler in </w:t>
      </w:r>
      <w:r w:rsidR="009F3063">
        <w:t xml:space="preserve">Europa und China </w:t>
      </w:r>
      <w:r w:rsidR="00A71C85">
        <w:t xml:space="preserve">2017 </w:t>
      </w:r>
      <w:r w:rsidR="009F3063">
        <w:t xml:space="preserve"> weitgehend stabile gesamtwirtschaftliche W</w:t>
      </w:r>
      <w:r w:rsidR="003C7023">
        <w:t>achstumsraten, in den USA sogar</w:t>
      </w:r>
      <w:r w:rsidR="009F3063">
        <w:t xml:space="preserve"> eine Beschleunigung der Konjunktur.</w:t>
      </w:r>
    </w:p>
    <w:p w:rsidR="009C147A" w:rsidRDefault="009C147A" w:rsidP="00E50F8F"/>
    <w:p w:rsidR="00072575" w:rsidRPr="00072575" w:rsidRDefault="00072575" w:rsidP="00E50F8F">
      <w:pPr>
        <w:rPr>
          <w:b/>
        </w:rPr>
      </w:pPr>
      <w:r w:rsidRPr="00072575">
        <w:rPr>
          <w:b/>
        </w:rPr>
        <w:t>Wachstumsprogramm aufgelegt</w:t>
      </w:r>
    </w:p>
    <w:p w:rsidR="000A01AD" w:rsidRDefault="004B2A6D" w:rsidP="00E50F8F">
      <w:r>
        <w:t>In Amerika hat Schuler 2016 die eigene Traditionsmarke BLISS wiederbelebt und mit einer neuen Maschinengeneration ber</w:t>
      </w:r>
      <w:r w:rsidR="000262E3">
        <w:t>eits erste Markterfolge erzielt</w:t>
      </w:r>
      <w:r>
        <w:t xml:space="preserve">. </w:t>
      </w:r>
      <w:r w:rsidR="000A01AD">
        <w:t>„</w:t>
      </w:r>
      <w:r w:rsidR="002C201D">
        <w:t>Insgesamt zielen wir darauf ab, das Wachstum von Schuler in den komm</w:t>
      </w:r>
      <w:r w:rsidR="000262E3">
        <w:t xml:space="preserve">enden Jahren zu beschleunigen“, </w:t>
      </w:r>
      <w:r w:rsidR="002C201D">
        <w:t xml:space="preserve">sagte Vorstandsvorsitzender </w:t>
      </w:r>
      <w:proofErr w:type="spellStart"/>
      <w:r w:rsidR="002C201D">
        <w:t>Klebert</w:t>
      </w:r>
      <w:proofErr w:type="spellEnd"/>
      <w:r w:rsidR="002C201D">
        <w:t>. „</w:t>
      </w:r>
      <w:r w:rsidR="009C147A">
        <w:t>Mit unserem Wachstumsprogramm „</w:t>
      </w:r>
      <w:proofErr w:type="spellStart"/>
      <w:r w:rsidR="009C147A">
        <w:t>We</w:t>
      </w:r>
      <w:proofErr w:type="spellEnd"/>
      <w:r w:rsidR="00480D95">
        <w:t xml:space="preserve"> </w:t>
      </w:r>
      <w:proofErr w:type="spellStart"/>
      <w:r w:rsidR="009C147A">
        <w:t>go</w:t>
      </w:r>
      <w:proofErr w:type="spellEnd"/>
      <w:r w:rsidR="009C147A">
        <w:t xml:space="preserve"> </w:t>
      </w:r>
      <w:proofErr w:type="spellStart"/>
      <w:r w:rsidR="009C147A">
        <w:t>for</w:t>
      </w:r>
      <w:proofErr w:type="spellEnd"/>
      <w:r w:rsidR="009C147A">
        <w:t xml:space="preserve"> 20.2“ w</w:t>
      </w:r>
      <w:r w:rsidR="000A01AD">
        <w:t xml:space="preserve">ollen </w:t>
      </w:r>
      <w:r w:rsidR="009C147A">
        <w:t xml:space="preserve">wir </w:t>
      </w:r>
      <w:r w:rsidR="00072575">
        <w:t xml:space="preserve">vor allem </w:t>
      </w:r>
      <w:r w:rsidR="000A01AD">
        <w:t xml:space="preserve">Innovationen schneller zur Marktreife bringen und mit neuen Produkten neue Kundengruppen gewinnen.“ </w:t>
      </w:r>
      <w:r w:rsidR="000262E3">
        <w:t xml:space="preserve"> Ziel ist es, einschließlich möglicher Akquisitionen um das Jahr 2020 herum einen Umsatzkorridor von rund zwei Mrd. Euro zu erreichen.</w:t>
      </w:r>
    </w:p>
    <w:p w:rsidR="000A01AD" w:rsidRDefault="000A01AD" w:rsidP="00E50F8F"/>
    <w:p w:rsidR="000A01AD" w:rsidRDefault="00EE69FD" w:rsidP="00E50F8F">
      <w:r>
        <w:t>Ein w</w:t>
      </w:r>
      <w:r w:rsidR="000A01AD">
        <w:t xml:space="preserve">ichtiger Innovationstreiber ist die weitere Digitalisierung der Umformtechnik. Dazu hat Schuler 2016 </w:t>
      </w:r>
      <w:r w:rsidR="004670BD">
        <w:t xml:space="preserve">den </w:t>
      </w:r>
      <w:r w:rsidR="000A01AD">
        <w:t xml:space="preserve">Smart Press Shop vorgestellt. </w:t>
      </w:r>
      <w:r w:rsidR="004670BD">
        <w:t xml:space="preserve">Damit zeigt Schuler </w:t>
      </w:r>
      <w:r w:rsidR="002D1887">
        <w:t>digitale</w:t>
      </w:r>
      <w:r w:rsidR="004670BD">
        <w:t xml:space="preserve"> Lösungen zur Vernetzung in der Umformtechnik auf, die </w:t>
      </w:r>
      <w:r w:rsidR="0015001C">
        <w:t xml:space="preserve">auf Kundenseite sowohl </w:t>
      </w:r>
      <w:r w:rsidR="004670BD">
        <w:t>die Prozesssicherheit</w:t>
      </w:r>
      <w:r w:rsidR="0015001C">
        <w:t xml:space="preserve"> als auch </w:t>
      </w:r>
      <w:r w:rsidR="004670BD">
        <w:t>die Wirtschaftlichkeit in der Produktion erhöhen.</w:t>
      </w:r>
      <w:r w:rsidR="000A01AD">
        <w:t xml:space="preserve"> </w:t>
      </w:r>
    </w:p>
    <w:p w:rsidR="000A01AD" w:rsidRDefault="000A01AD" w:rsidP="00E50F8F"/>
    <w:p w:rsidR="003973F9" w:rsidRPr="003973F9" w:rsidRDefault="00EE69FD" w:rsidP="000A01AD">
      <w:pPr>
        <w:rPr>
          <w:b/>
        </w:rPr>
      </w:pPr>
      <w:r>
        <w:rPr>
          <w:b/>
        </w:rPr>
        <w:t>Mittleres Markts</w:t>
      </w:r>
      <w:r w:rsidR="003973F9" w:rsidRPr="003973F9">
        <w:rPr>
          <w:b/>
        </w:rPr>
        <w:t xml:space="preserve">egment und E-Mobilität als </w:t>
      </w:r>
      <w:r>
        <w:rPr>
          <w:b/>
        </w:rPr>
        <w:t>Zukunftsfelder</w:t>
      </w:r>
    </w:p>
    <w:p w:rsidR="007D508E" w:rsidRDefault="000A01AD" w:rsidP="000A01AD">
      <w:r>
        <w:t xml:space="preserve">Auf der Produktebene greift Schuler insbesondere das </w:t>
      </w:r>
      <w:r w:rsidR="0065642C">
        <w:t xml:space="preserve">weltweit </w:t>
      </w:r>
      <w:r>
        <w:t xml:space="preserve">wachstumsstärkste </w:t>
      </w:r>
      <w:r w:rsidR="00EE69FD">
        <w:t>S</w:t>
      </w:r>
      <w:r>
        <w:t>egment für Pressenlinien mit mittlerem Preis</w:t>
      </w:r>
      <w:r w:rsidR="001852B3">
        <w:t>niveau</w:t>
      </w:r>
      <w:r>
        <w:t xml:space="preserve"> an. Dabei spielen sowohl die Technologien von </w:t>
      </w:r>
      <w:proofErr w:type="spellStart"/>
      <w:r>
        <w:t>Yadon</w:t>
      </w:r>
      <w:proofErr w:type="spellEnd"/>
      <w:r>
        <w:t xml:space="preserve"> als auch eigene Neuentwicklungen </w:t>
      </w:r>
      <w:r w:rsidR="005769A0">
        <w:t xml:space="preserve">wie die </w:t>
      </w:r>
      <w:r w:rsidR="001852B3">
        <w:t>kurz vor der Markteinführung</w:t>
      </w:r>
      <w:r w:rsidR="00480D95">
        <w:t xml:space="preserve"> stehende Presse MS</w:t>
      </w:r>
      <w:r w:rsidR="005769A0">
        <w:t xml:space="preserve">P 400  </w:t>
      </w:r>
      <w:r>
        <w:t xml:space="preserve">eine </w:t>
      </w:r>
      <w:r w:rsidR="00480D95">
        <w:t xml:space="preserve">wichtige </w:t>
      </w:r>
      <w:r>
        <w:t xml:space="preserve">Rolle. </w:t>
      </w:r>
      <w:r w:rsidR="003908E3">
        <w:t xml:space="preserve">Gleichzeitig hat Schuler den Bereich Elektromobilität als neuen Markt erschlossen. </w:t>
      </w:r>
      <w:r w:rsidR="003973F9">
        <w:t xml:space="preserve">Entsprechende Aufträge </w:t>
      </w:r>
      <w:r w:rsidR="002C201D">
        <w:lastRenderedPageBreak/>
        <w:t>eines fü</w:t>
      </w:r>
      <w:r w:rsidR="00FB695F">
        <w:t xml:space="preserve">hrenden Elektroauto-Herstellers </w:t>
      </w:r>
      <w:r w:rsidR="002C201D">
        <w:t xml:space="preserve">sowie der </w:t>
      </w:r>
      <w:r w:rsidR="003973F9">
        <w:t xml:space="preserve">deutschen Traditionsmarke </w:t>
      </w:r>
      <w:proofErr w:type="spellStart"/>
      <w:r w:rsidR="003973F9">
        <w:t>Borgward</w:t>
      </w:r>
      <w:proofErr w:type="spellEnd"/>
      <w:r w:rsidR="002C201D">
        <w:t xml:space="preserve"> und </w:t>
      </w:r>
      <w:r w:rsidR="00EE69FD">
        <w:t>de</w:t>
      </w:r>
      <w:r w:rsidR="00FB695F">
        <w:t>s</w:t>
      </w:r>
      <w:r w:rsidR="00EE69FD">
        <w:t xml:space="preserve"> südkoreanischen </w:t>
      </w:r>
      <w:r w:rsidR="003973F9">
        <w:t xml:space="preserve">Batterieproduzenten </w:t>
      </w:r>
      <w:r w:rsidR="00EE69FD">
        <w:t xml:space="preserve">Samsung </w:t>
      </w:r>
      <w:r w:rsidR="003973F9">
        <w:t xml:space="preserve">werden derzeit abgearbeitet. </w:t>
      </w:r>
      <w:r w:rsidR="004914EF">
        <w:t xml:space="preserve"> </w:t>
      </w:r>
    </w:p>
    <w:p w:rsidR="007D508E" w:rsidRDefault="007D508E" w:rsidP="00E50F8F"/>
    <w:p w:rsidR="007D508E" w:rsidRDefault="004914EF" w:rsidP="00E50F8F">
      <w:r>
        <w:t>Im Geschäftsjahr 2016 hatte Europa a</w:t>
      </w:r>
      <w:r w:rsidR="007D508E">
        <w:t xml:space="preserve">m Umsatz von insgesamt </w:t>
      </w:r>
      <w:r w:rsidR="009C147A">
        <w:t>1,</w:t>
      </w:r>
      <w:r>
        <w:t>1</w:t>
      </w:r>
      <w:r w:rsidR="00111AB7">
        <w:t>7</w:t>
      </w:r>
      <w:r w:rsidR="007D508E">
        <w:t xml:space="preserve"> Mrd. Euro mit </w:t>
      </w:r>
      <w:r w:rsidR="005769A0">
        <w:t>537</w:t>
      </w:r>
      <w:r>
        <w:t xml:space="preserve"> (</w:t>
      </w:r>
      <w:r w:rsidR="007D508E">
        <w:t xml:space="preserve">605) Mio. Euro </w:t>
      </w:r>
      <w:r w:rsidR="0065642C">
        <w:t xml:space="preserve">weiterhin </w:t>
      </w:r>
      <w:r w:rsidR="007D508E">
        <w:t xml:space="preserve">den größten Anteil. China </w:t>
      </w:r>
      <w:r w:rsidR="005769A0">
        <w:t>blieb mit 299</w:t>
      </w:r>
      <w:r>
        <w:t xml:space="preserve"> (</w:t>
      </w:r>
      <w:r w:rsidR="007D508E">
        <w:t xml:space="preserve">299) Mio. Euro </w:t>
      </w:r>
      <w:r w:rsidR="005769A0">
        <w:t xml:space="preserve">stabil. Deutlich positiv entwickelte sich das Schuler-Geschäft in Nordamerika mit einem Umsatzanstieg auf </w:t>
      </w:r>
      <w:r w:rsidR="0015001C">
        <w:t>267</w:t>
      </w:r>
      <w:r w:rsidR="00E06A19">
        <w:t xml:space="preserve"> </w:t>
      </w:r>
      <w:r>
        <w:t>(</w:t>
      </w:r>
      <w:r w:rsidR="007D508E">
        <w:t xml:space="preserve">190) Mio. Euro. </w:t>
      </w:r>
      <w:r w:rsidR="003973F9">
        <w:t xml:space="preserve">Die Zahl der Beschäftigten stieg 2016 konzernweit </w:t>
      </w:r>
      <w:r w:rsidR="00111AB7">
        <w:t xml:space="preserve">zum 31.12. </w:t>
      </w:r>
      <w:r w:rsidR="003973F9">
        <w:t xml:space="preserve">auf </w:t>
      </w:r>
      <w:r w:rsidR="003301EF">
        <w:t>6617</w:t>
      </w:r>
      <w:r w:rsidR="003973F9">
        <w:t xml:space="preserve"> (5176) Mitarbeiter. Darin </w:t>
      </w:r>
      <w:r w:rsidR="001852B3">
        <w:t xml:space="preserve">enthalten </w:t>
      </w:r>
      <w:r w:rsidR="003973F9">
        <w:t xml:space="preserve">sind </w:t>
      </w:r>
      <w:r w:rsidR="001852B3">
        <w:t xml:space="preserve">1011 Mitarbeiter von </w:t>
      </w:r>
      <w:proofErr w:type="spellStart"/>
      <w:r w:rsidR="001852B3">
        <w:t>Yadon</w:t>
      </w:r>
      <w:proofErr w:type="spellEnd"/>
      <w:r w:rsidR="001852B3">
        <w:t xml:space="preserve"> und 628 von AWEBA.</w:t>
      </w:r>
    </w:p>
    <w:p w:rsidR="00E06A19" w:rsidRDefault="00E06A19" w:rsidP="00E50F8F"/>
    <w:p w:rsidR="000D496E" w:rsidRPr="000D496E" w:rsidRDefault="000D496E" w:rsidP="004B64DD">
      <w:pPr>
        <w:rPr>
          <w:b/>
        </w:rPr>
      </w:pPr>
      <w:r>
        <w:rPr>
          <w:b/>
        </w:rPr>
        <w:t>Eigenkapital</w:t>
      </w:r>
      <w:r w:rsidR="009C147A">
        <w:rPr>
          <w:b/>
        </w:rPr>
        <w:t>-Ausstattung bleibt komfortabel</w:t>
      </w:r>
    </w:p>
    <w:p w:rsidR="00E06A19" w:rsidRDefault="009C147A" w:rsidP="00E06A19">
      <w:r>
        <w:t xml:space="preserve">Vor dem Hintergrund </w:t>
      </w:r>
      <w:r w:rsidR="00A37F3D">
        <w:t xml:space="preserve">der positiven Ertragsentwicklung </w:t>
      </w:r>
      <w:r w:rsidR="00F002F6">
        <w:t xml:space="preserve">hat </w:t>
      </w:r>
      <w:r w:rsidR="00A37F3D">
        <w:t>Schuler, zu über 9</w:t>
      </w:r>
      <w:r w:rsidR="002C201D">
        <w:t>5</w:t>
      </w:r>
      <w:r w:rsidR="00A37F3D">
        <w:t xml:space="preserve"> Prozent im Eigentum der öste</w:t>
      </w:r>
      <w:r w:rsidR="005900C7">
        <w:t>r</w:t>
      </w:r>
      <w:r w:rsidR="00A37F3D">
        <w:t>re</w:t>
      </w:r>
      <w:r w:rsidR="005900C7">
        <w:t>i</w:t>
      </w:r>
      <w:r w:rsidR="00A37F3D">
        <w:t xml:space="preserve">chischen ANDRITZ Gruppe, </w:t>
      </w:r>
      <w:r w:rsidR="00F002F6">
        <w:t xml:space="preserve">seine </w:t>
      </w:r>
      <w:r w:rsidR="00045F35">
        <w:t>Kapitalausstattung</w:t>
      </w:r>
      <w:r w:rsidR="00F002F6">
        <w:t xml:space="preserve"> weiter verbesser</w:t>
      </w:r>
      <w:r w:rsidR="002350D8">
        <w:t>n können</w:t>
      </w:r>
      <w:r w:rsidR="003F73D0">
        <w:t xml:space="preserve">. </w:t>
      </w:r>
      <w:r>
        <w:t>Das Eigenkapital stieg auf 438,4</w:t>
      </w:r>
      <w:r w:rsidR="007603ED">
        <w:t xml:space="preserve"> (</w:t>
      </w:r>
      <w:r w:rsidR="00BC3523">
        <w:t>369,1</w:t>
      </w:r>
      <w:r w:rsidR="007603ED">
        <w:t xml:space="preserve">) Mio. Euro. Weil die Bilanzsumme durch die Übernahmen von </w:t>
      </w:r>
      <w:proofErr w:type="spellStart"/>
      <w:r w:rsidR="007603ED">
        <w:t>Yadon</w:t>
      </w:r>
      <w:proofErr w:type="spellEnd"/>
      <w:r w:rsidR="007603ED">
        <w:t xml:space="preserve"> und AWEBA stärker wuchs, gab die </w:t>
      </w:r>
      <w:r w:rsidR="003F73D0">
        <w:t xml:space="preserve">Eigenkapitalquote </w:t>
      </w:r>
      <w:r w:rsidR="007603ED">
        <w:t>leicht a</w:t>
      </w:r>
      <w:r w:rsidR="00045F35">
        <w:t xml:space="preserve">uf </w:t>
      </w:r>
      <w:r>
        <w:t>32,2</w:t>
      </w:r>
      <w:r w:rsidR="003973F9">
        <w:t xml:space="preserve"> (</w:t>
      </w:r>
      <w:r w:rsidR="00045F35">
        <w:t xml:space="preserve">34,3) Prozent </w:t>
      </w:r>
      <w:r w:rsidR="007603ED">
        <w:t>nach. Das ist aber immer noch der zweit</w:t>
      </w:r>
      <w:r w:rsidR="00FF2727">
        <w:t>höchste Stand seit dem Börsengang 1999</w:t>
      </w:r>
      <w:r w:rsidR="00045F35">
        <w:t>.</w:t>
      </w:r>
      <w:r w:rsidR="0020514D" w:rsidRPr="0020514D">
        <w:t xml:space="preserve"> </w:t>
      </w:r>
      <w:r w:rsidR="00E06A19">
        <w:t xml:space="preserve">„Unsere Kapital- und Liquiditätsausstattung </w:t>
      </w:r>
      <w:r w:rsidR="00AE140E">
        <w:t>gibt</w:t>
      </w:r>
      <w:r w:rsidR="00E06A19">
        <w:t xml:space="preserve"> uns die notwendige stabile Grundlage, um weiteres organisches und externes Wachstum bei Bedarf solide finanzieren zu können“, sagte Finanzvorstand Norbert </w:t>
      </w:r>
      <w:proofErr w:type="spellStart"/>
      <w:r w:rsidR="00E06A19">
        <w:t>Broger</w:t>
      </w:r>
      <w:proofErr w:type="spellEnd"/>
      <w:r w:rsidR="00E06A19">
        <w:t>.</w:t>
      </w:r>
    </w:p>
    <w:p w:rsidR="00E06A19" w:rsidRDefault="00E06A19" w:rsidP="00E06A19"/>
    <w:p w:rsidR="00FF2727" w:rsidRDefault="0020514D" w:rsidP="004B64DD">
      <w:r>
        <w:t xml:space="preserve">Die Investitionen </w:t>
      </w:r>
      <w:r w:rsidR="00E06A19">
        <w:t xml:space="preserve">steigerte </w:t>
      </w:r>
      <w:r>
        <w:t xml:space="preserve">Schuler </w:t>
      </w:r>
      <w:r w:rsidR="00E06A19">
        <w:t xml:space="preserve">2016 </w:t>
      </w:r>
      <w:r w:rsidR="00332940">
        <w:t xml:space="preserve">weiter </w:t>
      </w:r>
      <w:r w:rsidR="00E06A19">
        <w:t>auf 45,8</w:t>
      </w:r>
      <w:r>
        <w:t xml:space="preserve"> (38,2) Mio. Euro</w:t>
      </w:r>
      <w:r w:rsidR="00E06A19">
        <w:t>.</w:t>
      </w:r>
      <w:r>
        <w:t xml:space="preserve"> </w:t>
      </w:r>
      <w:r w:rsidR="00332940">
        <w:t>Auf das inzwischen fast fertiggestellte neue Technologiezentrum in Göppingen, den Schuler Innovation Tower, entfiel davon rund die Hälfte der Summe. Ein weiterer Investitionsschwerpunkt waren die Bereiche IT und Digitalisierung.</w:t>
      </w:r>
      <w:r w:rsidR="00045F35">
        <w:t xml:space="preserve"> </w:t>
      </w:r>
      <w:r w:rsidR="00E76694">
        <w:t xml:space="preserve">Der Nettofinanzstatus (liquide Mittel abzüglich </w:t>
      </w:r>
      <w:r w:rsidR="00E76694">
        <w:lastRenderedPageBreak/>
        <w:t xml:space="preserve">Finanzschulden) lag mit </w:t>
      </w:r>
      <w:r w:rsidR="00737AC9">
        <w:t>116</w:t>
      </w:r>
      <w:r w:rsidR="00365676">
        <w:t>,</w:t>
      </w:r>
      <w:r w:rsidR="003C7023">
        <w:t>3</w:t>
      </w:r>
      <w:r w:rsidR="00E76694">
        <w:t xml:space="preserve"> (281</w:t>
      </w:r>
      <w:r w:rsidR="00737AC9">
        <w:t>,</w:t>
      </w:r>
      <w:r w:rsidR="003C7023">
        <w:t>3</w:t>
      </w:r>
      <w:r w:rsidR="00E76694">
        <w:t xml:space="preserve">) Mio. Euro </w:t>
      </w:r>
      <w:r w:rsidR="00737AC9">
        <w:t xml:space="preserve">deutlich unter Vorjahr. Grund dafür sind die Liquiditätsabflüsse für die erfolgreichen Übernahmen von AWEBA und </w:t>
      </w:r>
      <w:proofErr w:type="spellStart"/>
      <w:r w:rsidR="00737AC9">
        <w:t>Yadon</w:t>
      </w:r>
      <w:proofErr w:type="spellEnd"/>
      <w:r w:rsidR="00E76694">
        <w:t xml:space="preserve">. </w:t>
      </w:r>
    </w:p>
    <w:p w:rsidR="0020514D" w:rsidRDefault="0020514D" w:rsidP="004B64DD"/>
    <w:p w:rsidR="0031052B" w:rsidRDefault="0031052B" w:rsidP="0031052B"/>
    <w:p w:rsidR="00DF4D75" w:rsidRPr="00213BD4" w:rsidRDefault="00DF4D75" w:rsidP="00DF4D75">
      <w:r w:rsidRPr="00213BD4">
        <w:rPr>
          <w:b/>
        </w:rPr>
        <w:t>Schuler-Konzernkennzahlen</w:t>
      </w:r>
      <w:r>
        <w:rPr>
          <w:b/>
        </w:rPr>
        <w:t xml:space="preserve"> (IFRS)</w:t>
      </w:r>
    </w:p>
    <w:tbl>
      <w:tblPr>
        <w:tblW w:w="7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851"/>
        <w:gridCol w:w="1346"/>
        <w:gridCol w:w="1488"/>
      </w:tblGrid>
      <w:tr w:rsidR="00726B8B" w:rsidRPr="00213BD4" w:rsidTr="00726B8B">
        <w:tc>
          <w:tcPr>
            <w:tcW w:w="3652" w:type="dxa"/>
            <w:shd w:val="clear" w:color="auto" w:fill="auto"/>
          </w:tcPr>
          <w:p w:rsidR="00726B8B" w:rsidRPr="00213BD4" w:rsidRDefault="00726B8B" w:rsidP="00B077EE"/>
        </w:tc>
        <w:tc>
          <w:tcPr>
            <w:tcW w:w="851" w:type="dxa"/>
            <w:shd w:val="clear" w:color="auto" w:fill="auto"/>
          </w:tcPr>
          <w:p w:rsidR="00726B8B" w:rsidRPr="00213BD4" w:rsidRDefault="00726B8B" w:rsidP="00B077EE"/>
        </w:tc>
        <w:tc>
          <w:tcPr>
            <w:tcW w:w="1346" w:type="dxa"/>
          </w:tcPr>
          <w:p w:rsidR="00726B8B" w:rsidRDefault="00726B8B" w:rsidP="00B077EE">
            <w:pPr>
              <w:rPr>
                <w:b/>
              </w:rPr>
            </w:pPr>
            <w:r>
              <w:rPr>
                <w:b/>
              </w:rPr>
              <w:t>2016</w:t>
            </w:r>
          </w:p>
        </w:tc>
        <w:tc>
          <w:tcPr>
            <w:tcW w:w="1488" w:type="dxa"/>
            <w:shd w:val="clear" w:color="auto" w:fill="auto"/>
          </w:tcPr>
          <w:p w:rsidR="00726B8B" w:rsidRPr="00726B8B" w:rsidRDefault="00726B8B" w:rsidP="00B077EE">
            <w:r w:rsidRPr="00726B8B">
              <w:t>2015</w:t>
            </w:r>
          </w:p>
        </w:tc>
      </w:tr>
      <w:tr w:rsidR="00726B8B" w:rsidRPr="00213BD4" w:rsidTr="00726B8B">
        <w:tc>
          <w:tcPr>
            <w:tcW w:w="3652" w:type="dxa"/>
            <w:shd w:val="clear" w:color="auto" w:fill="auto"/>
            <w:vAlign w:val="center"/>
          </w:tcPr>
          <w:p w:rsidR="00726B8B" w:rsidRPr="00213BD4" w:rsidRDefault="00726B8B" w:rsidP="00B077EE">
            <w:r w:rsidRPr="00213BD4">
              <w:t>Umsatz</w:t>
            </w:r>
          </w:p>
        </w:tc>
        <w:tc>
          <w:tcPr>
            <w:tcW w:w="851" w:type="dxa"/>
            <w:shd w:val="clear" w:color="auto" w:fill="auto"/>
            <w:vAlign w:val="center"/>
          </w:tcPr>
          <w:p w:rsidR="00726B8B" w:rsidRPr="00213BD4" w:rsidRDefault="00726B8B" w:rsidP="00B077EE">
            <w:r w:rsidRPr="00213BD4">
              <w:t>Mio. €</w:t>
            </w:r>
          </w:p>
        </w:tc>
        <w:tc>
          <w:tcPr>
            <w:tcW w:w="1346" w:type="dxa"/>
          </w:tcPr>
          <w:p w:rsidR="00726B8B" w:rsidRPr="00A376EA" w:rsidRDefault="00726B8B" w:rsidP="00B077EE">
            <w:pPr>
              <w:rPr>
                <w:b/>
              </w:rPr>
            </w:pPr>
            <w:r>
              <w:rPr>
                <w:b/>
              </w:rPr>
              <w:t>1.174,2</w:t>
            </w:r>
          </w:p>
        </w:tc>
        <w:tc>
          <w:tcPr>
            <w:tcW w:w="1488" w:type="dxa"/>
            <w:shd w:val="clear" w:color="auto" w:fill="auto"/>
            <w:vAlign w:val="center"/>
          </w:tcPr>
          <w:p w:rsidR="00726B8B" w:rsidRPr="00726B8B" w:rsidRDefault="00726B8B" w:rsidP="00B077EE">
            <w:r w:rsidRPr="00726B8B">
              <w:t>1.200,0</w:t>
            </w:r>
          </w:p>
        </w:tc>
      </w:tr>
      <w:tr w:rsidR="00726B8B" w:rsidRPr="00213BD4" w:rsidTr="00726B8B">
        <w:tc>
          <w:tcPr>
            <w:tcW w:w="3652" w:type="dxa"/>
            <w:shd w:val="clear" w:color="auto" w:fill="auto"/>
            <w:vAlign w:val="center"/>
          </w:tcPr>
          <w:p w:rsidR="00726B8B" w:rsidRPr="00213BD4" w:rsidRDefault="00726B8B" w:rsidP="00B077EE">
            <w:r w:rsidRPr="00213BD4">
              <w:t>Auftragseingang</w:t>
            </w:r>
          </w:p>
        </w:tc>
        <w:tc>
          <w:tcPr>
            <w:tcW w:w="851" w:type="dxa"/>
            <w:shd w:val="clear" w:color="auto" w:fill="auto"/>
            <w:vAlign w:val="center"/>
          </w:tcPr>
          <w:p w:rsidR="00726B8B" w:rsidRPr="00213BD4" w:rsidRDefault="00726B8B" w:rsidP="00B077EE">
            <w:r w:rsidRPr="00213BD4">
              <w:t>Mio. €</w:t>
            </w:r>
          </w:p>
        </w:tc>
        <w:tc>
          <w:tcPr>
            <w:tcW w:w="1346" w:type="dxa"/>
          </w:tcPr>
          <w:p w:rsidR="00726B8B" w:rsidRPr="00A376EA" w:rsidRDefault="00726B8B" w:rsidP="00B077EE">
            <w:pPr>
              <w:rPr>
                <w:b/>
              </w:rPr>
            </w:pPr>
            <w:r>
              <w:rPr>
                <w:b/>
              </w:rPr>
              <w:t>1.199,5</w:t>
            </w:r>
          </w:p>
        </w:tc>
        <w:tc>
          <w:tcPr>
            <w:tcW w:w="1488" w:type="dxa"/>
            <w:shd w:val="clear" w:color="auto" w:fill="auto"/>
            <w:vAlign w:val="center"/>
          </w:tcPr>
          <w:p w:rsidR="00726B8B" w:rsidRPr="00726B8B" w:rsidRDefault="00726B8B" w:rsidP="00B077EE">
            <w:r w:rsidRPr="00726B8B">
              <w:t>1.015,7</w:t>
            </w:r>
          </w:p>
        </w:tc>
      </w:tr>
      <w:tr w:rsidR="00726B8B" w:rsidRPr="00213BD4" w:rsidTr="00726B8B">
        <w:tc>
          <w:tcPr>
            <w:tcW w:w="3652" w:type="dxa"/>
            <w:shd w:val="clear" w:color="auto" w:fill="auto"/>
            <w:vAlign w:val="center"/>
          </w:tcPr>
          <w:p w:rsidR="00726B8B" w:rsidRPr="00213BD4" w:rsidRDefault="00726B8B" w:rsidP="00B077EE">
            <w:r w:rsidRPr="00213BD4">
              <w:t>Auftragsbestand</w:t>
            </w:r>
          </w:p>
        </w:tc>
        <w:tc>
          <w:tcPr>
            <w:tcW w:w="851" w:type="dxa"/>
            <w:shd w:val="clear" w:color="auto" w:fill="auto"/>
            <w:vAlign w:val="center"/>
          </w:tcPr>
          <w:p w:rsidR="00726B8B" w:rsidRPr="00213BD4" w:rsidRDefault="00726B8B" w:rsidP="00B077EE">
            <w:r w:rsidRPr="00213BD4">
              <w:t>Mio. €</w:t>
            </w:r>
          </w:p>
        </w:tc>
        <w:tc>
          <w:tcPr>
            <w:tcW w:w="1346" w:type="dxa"/>
          </w:tcPr>
          <w:p w:rsidR="00726B8B" w:rsidRPr="00A376EA" w:rsidRDefault="00726B8B" w:rsidP="00B077EE">
            <w:pPr>
              <w:rPr>
                <w:b/>
              </w:rPr>
            </w:pPr>
            <w:r>
              <w:rPr>
                <w:b/>
              </w:rPr>
              <w:t>1.013,1</w:t>
            </w:r>
          </w:p>
        </w:tc>
        <w:tc>
          <w:tcPr>
            <w:tcW w:w="1488" w:type="dxa"/>
            <w:shd w:val="clear" w:color="auto" w:fill="auto"/>
            <w:vAlign w:val="center"/>
          </w:tcPr>
          <w:p w:rsidR="00726B8B" w:rsidRPr="00726B8B" w:rsidRDefault="00726B8B" w:rsidP="00B077EE">
            <w:r w:rsidRPr="00726B8B">
              <w:t>894,7</w:t>
            </w:r>
          </w:p>
        </w:tc>
      </w:tr>
      <w:tr w:rsidR="00726B8B" w:rsidRPr="00213BD4" w:rsidTr="00726B8B">
        <w:tc>
          <w:tcPr>
            <w:tcW w:w="3652" w:type="dxa"/>
            <w:shd w:val="clear" w:color="auto" w:fill="auto"/>
            <w:vAlign w:val="center"/>
          </w:tcPr>
          <w:p w:rsidR="00726B8B" w:rsidRPr="00213BD4" w:rsidRDefault="00726B8B" w:rsidP="00A37F3D">
            <w:r>
              <w:t>EBITDA (ohne SE/mit SE 2015)</w:t>
            </w:r>
          </w:p>
        </w:tc>
        <w:tc>
          <w:tcPr>
            <w:tcW w:w="851" w:type="dxa"/>
            <w:shd w:val="clear" w:color="auto" w:fill="auto"/>
            <w:vAlign w:val="center"/>
          </w:tcPr>
          <w:p w:rsidR="00726B8B" w:rsidRPr="00213BD4" w:rsidRDefault="00726B8B" w:rsidP="00B077EE">
            <w:r>
              <w:t>Mio. €</w:t>
            </w:r>
          </w:p>
        </w:tc>
        <w:tc>
          <w:tcPr>
            <w:tcW w:w="1346" w:type="dxa"/>
          </w:tcPr>
          <w:p w:rsidR="00726B8B" w:rsidRDefault="00726B8B" w:rsidP="00B077EE">
            <w:pPr>
              <w:rPr>
                <w:b/>
              </w:rPr>
            </w:pPr>
            <w:r>
              <w:rPr>
                <w:b/>
              </w:rPr>
              <w:t>122,6</w:t>
            </w:r>
          </w:p>
        </w:tc>
        <w:tc>
          <w:tcPr>
            <w:tcW w:w="1488" w:type="dxa"/>
            <w:shd w:val="clear" w:color="auto" w:fill="auto"/>
            <w:vAlign w:val="center"/>
          </w:tcPr>
          <w:p w:rsidR="00726B8B" w:rsidRPr="00726B8B" w:rsidRDefault="00726B8B" w:rsidP="00B077EE">
            <w:r w:rsidRPr="00726B8B">
              <w:t>138,8 / 70,9</w:t>
            </w:r>
          </w:p>
        </w:tc>
      </w:tr>
      <w:tr w:rsidR="00726B8B" w:rsidRPr="00213BD4" w:rsidTr="00726B8B">
        <w:tc>
          <w:tcPr>
            <w:tcW w:w="3652" w:type="dxa"/>
            <w:shd w:val="clear" w:color="auto" w:fill="auto"/>
            <w:vAlign w:val="center"/>
          </w:tcPr>
          <w:p w:rsidR="00726B8B" w:rsidRPr="00213BD4" w:rsidRDefault="00726B8B" w:rsidP="00A37F3D">
            <w:r>
              <w:t>EBIT (ohne SE/mit SE 2015)</w:t>
            </w:r>
          </w:p>
        </w:tc>
        <w:tc>
          <w:tcPr>
            <w:tcW w:w="851" w:type="dxa"/>
            <w:shd w:val="clear" w:color="auto" w:fill="auto"/>
            <w:vAlign w:val="center"/>
          </w:tcPr>
          <w:p w:rsidR="00726B8B" w:rsidRPr="00213BD4" w:rsidRDefault="00726B8B" w:rsidP="00B077EE">
            <w:r w:rsidRPr="00213BD4">
              <w:t>Mio. €</w:t>
            </w:r>
          </w:p>
        </w:tc>
        <w:tc>
          <w:tcPr>
            <w:tcW w:w="1346" w:type="dxa"/>
          </w:tcPr>
          <w:p w:rsidR="00726B8B" w:rsidRDefault="00726B8B" w:rsidP="00B077EE">
            <w:pPr>
              <w:rPr>
                <w:b/>
              </w:rPr>
            </w:pPr>
            <w:r>
              <w:rPr>
                <w:b/>
              </w:rPr>
              <w:t>95,4</w:t>
            </w:r>
          </w:p>
        </w:tc>
        <w:tc>
          <w:tcPr>
            <w:tcW w:w="1488" w:type="dxa"/>
            <w:shd w:val="clear" w:color="auto" w:fill="auto"/>
            <w:vAlign w:val="center"/>
          </w:tcPr>
          <w:p w:rsidR="00726B8B" w:rsidRPr="00726B8B" w:rsidRDefault="00726B8B" w:rsidP="00B077EE">
            <w:r w:rsidRPr="00726B8B">
              <w:t>115,7 / 43,1</w:t>
            </w:r>
          </w:p>
        </w:tc>
      </w:tr>
      <w:tr w:rsidR="00726B8B" w:rsidRPr="00213BD4" w:rsidTr="00726B8B">
        <w:tc>
          <w:tcPr>
            <w:tcW w:w="3652" w:type="dxa"/>
            <w:shd w:val="clear" w:color="auto" w:fill="auto"/>
            <w:vAlign w:val="center"/>
          </w:tcPr>
          <w:p w:rsidR="00726B8B" w:rsidRPr="00213BD4" w:rsidRDefault="00726B8B" w:rsidP="00A37F3D">
            <w:r w:rsidRPr="00213BD4">
              <w:t>E</w:t>
            </w:r>
            <w:r>
              <w:t>BT (ohne SE</w:t>
            </w:r>
            <w:r w:rsidRPr="00D55C5C">
              <w:t>/</w:t>
            </w:r>
            <w:r>
              <w:t>mit SE 2015)</w:t>
            </w:r>
          </w:p>
        </w:tc>
        <w:tc>
          <w:tcPr>
            <w:tcW w:w="851" w:type="dxa"/>
            <w:shd w:val="clear" w:color="auto" w:fill="auto"/>
            <w:vAlign w:val="center"/>
          </w:tcPr>
          <w:p w:rsidR="00726B8B" w:rsidRPr="00213BD4" w:rsidRDefault="00726B8B" w:rsidP="00B077EE">
            <w:r w:rsidRPr="00213BD4">
              <w:t>Mio. €</w:t>
            </w:r>
          </w:p>
        </w:tc>
        <w:tc>
          <w:tcPr>
            <w:tcW w:w="1346" w:type="dxa"/>
          </w:tcPr>
          <w:p w:rsidR="00726B8B" w:rsidRDefault="00726B8B" w:rsidP="00B077EE">
            <w:pPr>
              <w:rPr>
                <w:b/>
              </w:rPr>
            </w:pPr>
            <w:r>
              <w:rPr>
                <w:b/>
              </w:rPr>
              <w:t>95,1</w:t>
            </w:r>
          </w:p>
        </w:tc>
        <w:tc>
          <w:tcPr>
            <w:tcW w:w="1488" w:type="dxa"/>
            <w:shd w:val="clear" w:color="auto" w:fill="auto"/>
            <w:vAlign w:val="center"/>
          </w:tcPr>
          <w:p w:rsidR="00726B8B" w:rsidRPr="00726B8B" w:rsidRDefault="00726B8B" w:rsidP="00B077EE">
            <w:r w:rsidRPr="00726B8B">
              <w:t>116,6 / 44,0</w:t>
            </w:r>
          </w:p>
        </w:tc>
      </w:tr>
      <w:tr w:rsidR="00726B8B" w:rsidRPr="00213BD4" w:rsidTr="00726B8B">
        <w:tc>
          <w:tcPr>
            <w:tcW w:w="3652" w:type="dxa"/>
            <w:shd w:val="clear" w:color="auto" w:fill="auto"/>
            <w:vAlign w:val="center"/>
          </w:tcPr>
          <w:p w:rsidR="00726B8B" w:rsidRPr="00213BD4" w:rsidRDefault="00726B8B" w:rsidP="00A37F3D">
            <w:r w:rsidRPr="00D55C5C">
              <w:t>EBITDA</w:t>
            </w:r>
            <w:r>
              <w:t>-Marge (ohne SE/mit SE 2015)</w:t>
            </w:r>
          </w:p>
        </w:tc>
        <w:tc>
          <w:tcPr>
            <w:tcW w:w="851" w:type="dxa"/>
            <w:shd w:val="clear" w:color="auto" w:fill="auto"/>
            <w:vAlign w:val="center"/>
          </w:tcPr>
          <w:p w:rsidR="00726B8B" w:rsidRPr="00213BD4" w:rsidRDefault="00726B8B" w:rsidP="00077ED1">
            <w:r>
              <w:t>%</w:t>
            </w:r>
          </w:p>
        </w:tc>
        <w:tc>
          <w:tcPr>
            <w:tcW w:w="1346" w:type="dxa"/>
          </w:tcPr>
          <w:p w:rsidR="00726B8B" w:rsidRDefault="00726B8B" w:rsidP="00077ED1">
            <w:pPr>
              <w:rPr>
                <w:b/>
              </w:rPr>
            </w:pPr>
            <w:r>
              <w:rPr>
                <w:b/>
              </w:rPr>
              <w:t>10,4</w:t>
            </w:r>
          </w:p>
        </w:tc>
        <w:tc>
          <w:tcPr>
            <w:tcW w:w="1488" w:type="dxa"/>
            <w:shd w:val="clear" w:color="auto" w:fill="auto"/>
            <w:vAlign w:val="center"/>
          </w:tcPr>
          <w:p w:rsidR="00726B8B" w:rsidRPr="00726B8B" w:rsidRDefault="00726B8B" w:rsidP="00077ED1">
            <w:r w:rsidRPr="00726B8B">
              <w:t>11,6 / 5,9</w:t>
            </w:r>
          </w:p>
        </w:tc>
      </w:tr>
      <w:tr w:rsidR="00726B8B" w:rsidRPr="00213BD4" w:rsidTr="00726B8B">
        <w:tc>
          <w:tcPr>
            <w:tcW w:w="3652" w:type="dxa"/>
            <w:shd w:val="clear" w:color="auto" w:fill="auto"/>
            <w:vAlign w:val="center"/>
          </w:tcPr>
          <w:p w:rsidR="00726B8B" w:rsidRPr="00213BD4" w:rsidRDefault="00726B8B" w:rsidP="00B077EE">
            <w:r w:rsidRPr="00213BD4">
              <w:t>Konzernergebnis</w:t>
            </w:r>
          </w:p>
        </w:tc>
        <w:tc>
          <w:tcPr>
            <w:tcW w:w="851" w:type="dxa"/>
            <w:shd w:val="clear" w:color="auto" w:fill="auto"/>
            <w:vAlign w:val="center"/>
          </w:tcPr>
          <w:p w:rsidR="00726B8B" w:rsidRPr="00213BD4" w:rsidRDefault="00726B8B" w:rsidP="00B077EE">
            <w:r w:rsidRPr="00213BD4">
              <w:t>Mio. €</w:t>
            </w:r>
          </w:p>
        </w:tc>
        <w:tc>
          <w:tcPr>
            <w:tcW w:w="1346" w:type="dxa"/>
          </w:tcPr>
          <w:p w:rsidR="00726B8B" w:rsidRPr="002877B6" w:rsidRDefault="00726B8B" w:rsidP="00B077EE">
            <w:pPr>
              <w:rPr>
                <w:b/>
              </w:rPr>
            </w:pPr>
            <w:r>
              <w:rPr>
                <w:b/>
              </w:rPr>
              <w:t>77,4</w:t>
            </w:r>
          </w:p>
        </w:tc>
        <w:tc>
          <w:tcPr>
            <w:tcW w:w="1488" w:type="dxa"/>
            <w:shd w:val="clear" w:color="auto" w:fill="auto"/>
            <w:vAlign w:val="center"/>
          </w:tcPr>
          <w:p w:rsidR="00726B8B" w:rsidRPr="00726B8B" w:rsidRDefault="00726B8B" w:rsidP="00B077EE">
            <w:r w:rsidRPr="00726B8B">
              <w:t>39,3</w:t>
            </w:r>
          </w:p>
        </w:tc>
      </w:tr>
      <w:tr w:rsidR="00726B8B" w:rsidRPr="00213BD4" w:rsidTr="00726B8B">
        <w:tc>
          <w:tcPr>
            <w:tcW w:w="3652" w:type="dxa"/>
            <w:shd w:val="clear" w:color="auto" w:fill="auto"/>
            <w:vAlign w:val="center"/>
          </w:tcPr>
          <w:p w:rsidR="00726B8B" w:rsidRDefault="00726B8B" w:rsidP="00B077EE">
            <w:r>
              <w:t>Bilanzsumme</w:t>
            </w:r>
          </w:p>
        </w:tc>
        <w:tc>
          <w:tcPr>
            <w:tcW w:w="851" w:type="dxa"/>
            <w:shd w:val="clear" w:color="auto" w:fill="auto"/>
            <w:vAlign w:val="center"/>
          </w:tcPr>
          <w:p w:rsidR="00726B8B" w:rsidRDefault="00726B8B" w:rsidP="00B077EE">
            <w:r>
              <w:t>Mio. €</w:t>
            </w:r>
          </w:p>
        </w:tc>
        <w:tc>
          <w:tcPr>
            <w:tcW w:w="1346" w:type="dxa"/>
          </w:tcPr>
          <w:p w:rsidR="00726B8B" w:rsidRPr="002877B6" w:rsidRDefault="00726B8B" w:rsidP="00B077EE">
            <w:pPr>
              <w:rPr>
                <w:b/>
              </w:rPr>
            </w:pPr>
            <w:r>
              <w:rPr>
                <w:b/>
              </w:rPr>
              <w:t>1.361,3</w:t>
            </w:r>
          </w:p>
        </w:tc>
        <w:tc>
          <w:tcPr>
            <w:tcW w:w="1488" w:type="dxa"/>
            <w:shd w:val="clear" w:color="auto" w:fill="auto"/>
            <w:vAlign w:val="center"/>
          </w:tcPr>
          <w:p w:rsidR="00726B8B" w:rsidRPr="00726B8B" w:rsidRDefault="00726B8B" w:rsidP="00B077EE">
            <w:r w:rsidRPr="00726B8B">
              <w:t>1.074,5</w:t>
            </w:r>
          </w:p>
        </w:tc>
      </w:tr>
      <w:tr w:rsidR="00726B8B" w:rsidRPr="00213BD4" w:rsidTr="00726B8B">
        <w:tc>
          <w:tcPr>
            <w:tcW w:w="3652" w:type="dxa"/>
            <w:shd w:val="clear" w:color="auto" w:fill="auto"/>
            <w:vAlign w:val="center"/>
          </w:tcPr>
          <w:p w:rsidR="00726B8B" w:rsidRDefault="00726B8B" w:rsidP="00B077EE">
            <w:r>
              <w:t>Eigenkapital</w:t>
            </w:r>
          </w:p>
        </w:tc>
        <w:tc>
          <w:tcPr>
            <w:tcW w:w="851" w:type="dxa"/>
            <w:shd w:val="clear" w:color="auto" w:fill="auto"/>
            <w:vAlign w:val="center"/>
          </w:tcPr>
          <w:p w:rsidR="00726B8B" w:rsidRDefault="00726B8B" w:rsidP="00B077EE">
            <w:r>
              <w:t>Mio. €</w:t>
            </w:r>
          </w:p>
        </w:tc>
        <w:tc>
          <w:tcPr>
            <w:tcW w:w="1346" w:type="dxa"/>
          </w:tcPr>
          <w:p w:rsidR="00726B8B" w:rsidRPr="002877B6" w:rsidRDefault="00726B8B" w:rsidP="00B077EE">
            <w:pPr>
              <w:rPr>
                <w:b/>
              </w:rPr>
            </w:pPr>
            <w:r>
              <w:rPr>
                <w:b/>
              </w:rPr>
              <w:t>438,4</w:t>
            </w:r>
          </w:p>
        </w:tc>
        <w:tc>
          <w:tcPr>
            <w:tcW w:w="1488" w:type="dxa"/>
            <w:shd w:val="clear" w:color="auto" w:fill="auto"/>
            <w:vAlign w:val="center"/>
          </w:tcPr>
          <w:p w:rsidR="00726B8B" w:rsidRPr="00726B8B" w:rsidRDefault="00726B8B" w:rsidP="00B077EE">
            <w:r w:rsidRPr="00726B8B">
              <w:t>369,1</w:t>
            </w:r>
          </w:p>
        </w:tc>
      </w:tr>
      <w:tr w:rsidR="00726B8B" w:rsidRPr="00213BD4" w:rsidTr="00726B8B">
        <w:tc>
          <w:tcPr>
            <w:tcW w:w="3652" w:type="dxa"/>
            <w:shd w:val="clear" w:color="auto" w:fill="auto"/>
            <w:vAlign w:val="center"/>
          </w:tcPr>
          <w:p w:rsidR="00726B8B" w:rsidRPr="00213BD4" w:rsidRDefault="00726B8B" w:rsidP="00B077EE">
            <w:r w:rsidRPr="00213BD4">
              <w:t>Eigenkapitalquot</w:t>
            </w:r>
            <w:r>
              <w:t>e</w:t>
            </w:r>
          </w:p>
        </w:tc>
        <w:tc>
          <w:tcPr>
            <w:tcW w:w="851" w:type="dxa"/>
            <w:shd w:val="clear" w:color="auto" w:fill="auto"/>
            <w:vAlign w:val="center"/>
          </w:tcPr>
          <w:p w:rsidR="00726B8B" w:rsidRPr="00213BD4" w:rsidRDefault="00726B8B" w:rsidP="00B077EE">
            <w:r w:rsidRPr="00213BD4">
              <w:t>%</w:t>
            </w:r>
          </w:p>
        </w:tc>
        <w:tc>
          <w:tcPr>
            <w:tcW w:w="1346" w:type="dxa"/>
          </w:tcPr>
          <w:p w:rsidR="00726B8B" w:rsidRPr="002877B6" w:rsidRDefault="00726B8B" w:rsidP="00B077EE">
            <w:pPr>
              <w:rPr>
                <w:b/>
              </w:rPr>
            </w:pPr>
            <w:r>
              <w:rPr>
                <w:b/>
              </w:rPr>
              <w:t>32,2</w:t>
            </w:r>
          </w:p>
        </w:tc>
        <w:tc>
          <w:tcPr>
            <w:tcW w:w="1488" w:type="dxa"/>
            <w:shd w:val="clear" w:color="auto" w:fill="auto"/>
            <w:vAlign w:val="center"/>
          </w:tcPr>
          <w:p w:rsidR="00726B8B" w:rsidRPr="00726B8B" w:rsidRDefault="00726B8B" w:rsidP="00B077EE">
            <w:r w:rsidRPr="00726B8B">
              <w:t>34,3</w:t>
            </w:r>
          </w:p>
        </w:tc>
      </w:tr>
      <w:tr w:rsidR="00726B8B" w:rsidRPr="00213BD4" w:rsidTr="00726B8B">
        <w:tc>
          <w:tcPr>
            <w:tcW w:w="3652" w:type="dxa"/>
            <w:shd w:val="clear" w:color="auto" w:fill="auto"/>
            <w:vAlign w:val="center"/>
          </w:tcPr>
          <w:p w:rsidR="00726B8B" w:rsidRPr="00213BD4" w:rsidRDefault="00726B8B" w:rsidP="00B077EE">
            <w:r>
              <w:t>Nettofinanzstatus</w:t>
            </w:r>
          </w:p>
        </w:tc>
        <w:tc>
          <w:tcPr>
            <w:tcW w:w="851" w:type="dxa"/>
            <w:shd w:val="clear" w:color="auto" w:fill="auto"/>
            <w:vAlign w:val="center"/>
          </w:tcPr>
          <w:p w:rsidR="00726B8B" w:rsidRPr="00213BD4" w:rsidRDefault="00726B8B" w:rsidP="00B077EE">
            <w:r>
              <w:t>Mio. €</w:t>
            </w:r>
          </w:p>
        </w:tc>
        <w:tc>
          <w:tcPr>
            <w:tcW w:w="1346" w:type="dxa"/>
          </w:tcPr>
          <w:p w:rsidR="00726B8B" w:rsidRPr="002877B6" w:rsidRDefault="00726B8B" w:rsidP="00B077EE">
            <w:pPr>
              <w:rPr>
                <w:b/>
              </w:rPr>
            </w:pPr>
            <w:r>
              <w:rPr>
                <w:b/>
              </w:rPr>
              <w:t>116,</w:t>
            </w:r>
            <w:r w:rsidR="00336BB1">
              <w:rPr>
                <w:b/>
              </w:rPr>
              <w:t>3</w:t>
            </w:r>
          </w:p>
        </w:tc>
        <w:tc>
          <w:tcPr>
            <w:tcW w:w="1488" w:type="dxa"/>
            <w:shd w:val="clear" w:color="auto" w:fill="auto"/>
            <w:vAlign w:val="center"/>
          </w:tcPr>
          <w:p w:rsidR="00726B8B" w:rsidRPr="00726B8B" w:rsidRDefault="00726B8B" w:rsidP="00B077EE">
            <w:r w:rsidRPr="00726B8B">
              <w:t>281,3</w:t>
            </w:r>
          </w:p>
        </w:tc>
      </w:tr>
      <w:tr w:rsidR="00726B8B" w:rsidRPr="00213BD4" w:rsidTr="00726B8B">
        <w:tc>
          <w:tcPr>
            <w:tcW w:w="3652" w:type="dxa"/>
            <w:shd w:val="clear" w:color="auto" w:fill="auto"/>
            <w:vAlign w:val="center"/>
          </w:tcPr>
          <w:p w:rsidR="00726B8B" w:rsidRPr="00213BD4" w:rsidRDefault="00726B8B" w:rsidP="00B077EE">
            <w:r w:rsidRPr="00213BD4">
              <w:t>Mitarbeiter</w:t>
            </w:r>
            <w:r>
              <w:rPr>
                <w:vertAlign w:val="superscript"/>
              </w:rPr>
              <w:t xml:space="preserve"> </w:t>
            </w:r>
            <w:r>
              <w:t>inkl. Auszubildende</w:t>
            </w:r>
          </w:p>
        </w:tc>
        <w:tc>
          <w:tcPr>
            <w:tcW w:w="851" w:type="dxa"/>
            <w:shd w:val="clear" w:color="auto" w:fill="auto"/>
            <w:vAlign w:val="center"/>
          </w:tcPr>
          <w:p w:rsidR="00726B8B" w:rsidRPr="00213BD4" w:rsidRDefault="00726B8B" w:rsidP="00B077EE">
            <w:r>
              <w:t>Anzahl</w:t>
            </w:r>
          </w:p>
        </w:tc>
        <w:tc>
          <w:tcPr>
            <w:tcW w:w="1346" w:type="dxa"/>
          </w:tcPr>
          <w:p w:rsidR="00726B8B" w:rsidRPr="00F6190D" w:rsidRDefault="00726B8B" w:rsidP="007C2789">
            <w:pPr>
              <w:rPr>
                <w:b/>
              </w:rPr>
            </w:pPr>
            <w:r>
              <w:rPr>
                <w:b/>
              </w:rPr>
              <w:t>6.</w:t>
            </w:r>
            <w:r w:rsidR="007C2789">
              <w:rPr>
                <w:b/>
              </w:rPr>
              <w:t>617</w:t>
            </w:r>
          </w:p>
        </w:tc>
        <w:tc>
          <w:tcPr>
            <w:tcW w:w="1488" w:type="dxa"/>
            <w:shd w:val="clear" w:color="auto" w:fill="auto"/>
            <w:vAlign w:val="center"/>
          </w:tcPr>
          <w:p w:rsidR="00726B8B" w:rsidRPr="00726B8B" w:rsidRDefault="00726B8B" w:rsidP="00336BB1">
            <w:r w:rsidRPr="00726B8B">
              <w:t>5.16</w:t>
            </w:r>
            <w:r w:rsidR="00336BB1">
              <w:t>7</w:t>
            </w:r>
          </w:p>
        </w:tc>
      </w:tr>
    </w:tbl>
    <w:p w:rsidR="005900C7" w:rsidRDefault="005900C7" w:rsidP="00DF4D75"/>
    <w:p w:rsidR="005900C7" w:rsidRDefault="00A37F3D" w:rsidP="00DF4D75">
      <w:r>
        <w:t xml:space="preserve">SE = Ergebniswirksame Sondereffekte </w:t>
      </w:r>
      <w:r w:rsidR="005A3F02">
        <w:t xml:space="preserve">2015 </w:t>
      </w:r>
      <w:r w:rsidR="005900C7">
        <w:t>aus der Umsetzung von</w:t>
      </w:r>
    </w:p>
    <w:p w:rsidR="00A37F3D" w:rsidRDefault="005900C7" w:rsidP="00DF4D75">
      <w:r>
        <w:t xml:space="preserve">        Restrukturierungsprogrammen</w:t>
      </w:r>
      <w:r w:rsidR="00A37F3D">
        <w:t xml:space="preserve"> </w:t>
      </w:r>
    </w:p>
    <w:p w:rsidR="00DF4D75" w:rsidRDefault="00DF4D75" w:rsidP="00DF4D75"/>
    <w:p w:rsidR="00DF4D75" w:rsidRDefault="00DF4D75" w:rsidP="00DF4D75">
      <w:r>
        <w:t>Den Online-Geschäftsbericht 201</w:t>
      </w:r>
      <w:r w:rsidR="00A74933">
        <w:t>6</w:t>
      </w:r>
      <w:r>
        <w:t xml:space="preserve"> finden Sie unter folgendem Link:</w:t>
      </w:r>
    </w:p>
    <w:p w:rsidR="00DF4D75" w:rsidRDefault="00847D92" w:rsidP="00DF4D75">
      <w:hyperlink r:id="rId11" w:history="1">
        <w:r w:rsidR="00DF4D75" w:rsidRPr="00EE79B0">
          <w:rPr>
            <w:rStyle w:val="Hyperlink"/>
          </w:rPr>
          <w:t>http://www.schulergroup.com/investor_relations/finanzberichte</w:t>
        </w:r>
      </w:hyperlink>
    </w:p>
    <w:p w:rsidR="007E1606" w:rsidRDefault="007E1606" w:rsidP="007E1606"/>
    <w:p w:rsidR="006D0ACF" w:rsidRDefault="006D0ACF">
      <w:pPr>
        <w:spacing w:line="240" w:lineRule="auto"/>
        <w:rPr>
          <w:rFonts w:cs="Arial"/>
          <w:b/>
          <w:szCs w:val="24"/>
        </w:rPr>
      </w:pPr>
      <w:r>
        <w:br w:type="page"/>
      </w:r>
    </w:p>
    <w:p w:rsidR="002D1887" w:rsidRDefault="002D1887" w:rsidP="002D1887">
      <w:pPr>
        <w:pStyle w:val="berschrift2"/>
      </w:pPr>
      <w:r>
        <w:lastRenderedPageBreak/>
        <w:t>Bilder</w:t>
      </w:r>
    </w:p>
    <w:tbl>
      <w:tblPr>
        <w:tblStyle w:val="Tabellenraster"/>
        <w:tblW w:w="0" w:type="auto"/>
        <w:tblLook w:val="04A0" w:firstRow="1" w:lastRow="0" w:firstColumn="1" w:lastColumn="0" w:noHBand="0" w:noVBand="1"/>
      </w:tblPr>
      <w:tblGrid>
        <w:gridCol w:w="3049"/>
        <w:gridCol w:w="3829"/>
      </w:tblGrid>
      <w:tr w:rsidR="002D1887" w:rsidTr="009B509A">
        <w:tc>
          <w:tcPr>
            <w:tcW w:w="2660" w:type="dxa"/>
          </w:tcPr>
          <w:p w:rsidR="002D1887" w:rsidRDefault="002D1887" w:rsidP="009B509A">
            <w:r>
              <w:rPr>
                <w:noProof/>
              </w:rPr>
              <w:drawing>
                <wp:inline distT="0" distB="0" distL="0" distR="0" wp14:anchorId="4345CA16" wp14:editId="676680F0">
                  <wp:extent cx="1799539" cy="1182005"/>
                  <wp:effectExtent l="0" t="0" r="0" b="0"/>
                  <wp:docPr id="8" name="Grafik 8" descr="C:\Users\scherren\AppData\Local\Microsoft\Windows\INetCache\Content.Word\Awe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AppData\Local\Microsoft\Windows\INetCache\Content.Word\Aweba.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99528" cy="1181998"/>
                          </a:xfrm>
                          <a:prstGeom prst="rect">
                            <a:avLst/>
                          </a:prstGeom>
                          <a:noFill/>
                          <a:ln>
                            <a:noFill/>
                          </a:ln>
                        </pic:spPr>
                      </pic:pic>
                    </a:graphicData>
                  </a:graphic>
                </wp:inline>
              </w:drawing>
            </w:r>
          </w:p>
        </w:tc>
        <w:tc>
          <w:tcPr>
            <w:tcW w:w="4142" w:type="dxa"/>
          </w:tcPr>
          <w:p w:rsidR="002D1887" w:rsidRDefault="002D1887" w:rsidP="009B509A">
            <w:r>
              <w:t xml:space="preserve">Bild1.jpg: Die 2016 übernommenen Tochtergesellschaften AWEBA (Bild) und </w:t>
            </w:r>
            <w:proofErr w:type="spellStart"/>
            <w:r>
              <w:t>Yadon</w:t>
            </w:r>
            <w:proofErr w:type="spellEnd"/>
            <w:r>
              <w:t xml:space="preserve"> haben bereits im ersten Jahr positiv zu Wachstum und Ergebnis von Schuler beigetragen.</w:t>
            </w:r>
          </w:p>
        </w:tc>
      </w:tr>
      <w:tr w:rsidR="002D1887" w:rsidTr="009B509A">
        <w:tc>
          <w:tcPr>
            <w:tcW w:w="2660" w:type="dxa"/>
          </w:tcPr>
          <w:p w:rsidR="002D1887" w:rsidRDefault="002D1887" w:rsidP="009B509A">
            <w:r>
              <w:rPr>
                <w:noProof/>
              </w:rPr>
              <w:drawing>
                <wp:inline distT="0" distB="0" distL="0" distR="0" wp14:anchorId="626D53F2" wp14:editId="173A662D">
                  <wp:extent cx="1799539" cy="2689430"/>
                  <wp:effectExtent l="0" t="0" r="0" b="0"/>
                  <wp:docPr id="9" name="Grafik 9" descr="C:\Users\scherren\AppData\Local\Microsoft\Windows\INetCache\Content.Word\Simul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cherren\AppData\Local\Microsoft\Windows\INetCache\Content.Word\Simulation.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809507" cy="2704327"/>
                          </a:xfrm>
                          <a:prstGeom prst="rect">
                            <a:avLst/>
                          </a:prstGeom>
                          <a:noFill/>
                          <a:ln>
                            <a:noFill/>
                          </a:ln>
                        </pic:spPr>
                      </pic:pic>
                    </a:graphicData>
                  </a:graphic>
                </wp:inline>
              </w:drawing>
            </w:r>
          </w:p>
        </w:tc>
        <w:tc>
          <w:tcPr>
            <w:tcW w:w="4142" w:type="dxa"/>
          </w:tcPr>
          <w:p w:rsidR="002D1887" w:rsidRDefault="002D1887" w:rsidP="009B509A">
            <w:r>
              <w:t>Bild2.jpg: Ein wichtiger Innovationstreiber ist die weitere Digitalisierung der Umformtechnik. Dazu hat Schuler 2016 den Smart Press Shop vorgestellt. Damit zeigt Schuler digitale Lösungen zur Vernetzung in der Umformtechnik auf, die auf Kundenseite sow</w:t>
            </w:r>
            <w:bookmarkStart w:id="0" w:name="_GoBack"/>
            <w:bookmarkEnd w:id="0"/>
            <w:r>
              <w:t xml:space="preserve">ohl die Prozesssicherheit als auch die Wirtschaftlichkeit in der Produktion erhöhen. </w:t>
            </w:r>
          </w:p>
        </w:tc>
      </w:tr>
      <w:tr w:rsidR="002D1887" w:rsidTr="009B509A">
        <w:tc>
          <w:tcPr>
            <w:tcW w:w="2660" w:type="dxa"/>
          </w:tcPr>
          <w:p w:rsidR="002D1887" w:rsidRDefault="002D1887" w:rsidP="009B509A">
            <w:r>
              <w:rPr>
                <w:noProof/>
              </w:rPr>
              <w:drawing>
                <wp:inline distT="0" distB="0" distL="0" distR="0" wp14:anchorId="366E781B" wp14:editId="470280A5">
                  <wp:extent cx="1799539" cy="1196660"/>
                  <wp:effectExtent l="0" t="0" r="0" b="3810"/>
                  <wp:docPr id="10" name="Grafik 10" descr="C:\Users\scherren\AppData\Local\Microsoft\Windows\INetCache\Content.Word\S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cherren\AppData\Local\Microsoft\Windows\INetCache\Content.Word\SIT.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99448" cy="1196600"/>
                          </a:xfrm>
                          <a:prstGeom prst="rect">
                            <a:avLst/>
                          </a:prstGeom>
                          <a:noFill/>
                          <a:ln>
                            <a:noFill/>
                          </a:ln>
                        </pic:spPr>
                      </pic:pic>
                    </a:graphicData>
                  </a:graphic>
                </wp:inline>
              </w:drawing>
            </w:r>
          </w:p>
        </w:tc>
        <w:tc>
          <w:tcPr>
            <w:tcW w:w="4142" w:type="dxa"/>
          </w:tcPr>
          <w:p w:rsidR="002D1887" w:rsidRDefault="002D1887" w:rsidP="009B509A">
            <w:r>
              <w:t>Bild3.jpg: Auf das inzwischen fast fertiggestellte Technologiezentrum in Göppingen, den Schuler Innovation Tower, entfiel rund die Hälfte der Investitionen von 45,8 Millionen Euro.</w:t>
            </w:r>
          </w:p>
        </w:tc>
      </w:tr>
    </w:tbl>
    <w:p w:rsidR="002D1887" w:rsidRPr="006D0ACF" w:rsidRDefault="002D1887" w:rsidP="002D1887">
      <w:pPr>
        <w:rPr>
          <w:i/>
        </w:rPr>
      </w:pPr>
      <w:r w:rsidRPr="006D0ACF">
        <w:rPr>
          <w:i/>
        </w:rPr>
        <w:t>Als Bildquelle bitte Schuler angeben.</w:t>
      </w:r>
    </w:p>
    <w:p w:rsidR="006D0ACF" w:rsidRPr="006D0ACF" w:rsidRDefault="006D0ACF" w:rsidP="006D0ACF"/>
    <w:p w:rsidR="002D1887" w:rsidRDefault="002D1887">
      <w:pPr>
        <w:spacing w:line="240" w:lineRule="auto"/>
      </w:pPr>
      <w:r>
        <w:br w:type="page"/>
      </w:r>
    </w:p>
    <w:p w:rsidR="00DF4D75" w:rsidRDefault="00DF4D75">
      <w:pPr>
        <w:spacing w:line="240" w:lineRule="auto"/>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F32AA1" w:rsidRDefault="00F32AA1" w:rsidP="00F32AA1">
      <w:pPr>
        <w:spacing w:line="240" w:lineRule="auto"/>
        <w:ind w:right="-15"/>
        <w:jc w:val="both"/>
        <w:outlineLvl w:val="0"/>
        <w:rPr>
          <w:b/>
          <w:i/>
        </w:rPr>
      </w:pPr>
      <w:r w:rsidRPr="00AF64B9">
        <w:rPr>
          <w:b/>
          <w:i/>
        </w:rPr>
        <w:t xml:space="preserve">Über den Schuler-Konzern – </w:t>
      </w:r>
      <w:hyperlink r:id="rId15" w:history="1">
        <w:r w:rsidRPr="00D808EA">
          <w:rPr>
            <w:rStyle w:val="Hyperlink"/>
            <w:b/>
            <w:i/>
          </w:rPr>
          <w:t>www.schulergroup.com</w:t>
        </w:r>
      </w:hyperlink>
    </w:p>
    <w:p w:rsidR="00F32AA1" w:rsidRPr="00C82B81" w:rsidRDefault="00F32AA1" w:rsidP="00F32AA1">
      <w:pPr>
        <w:spacing w:line="240" w:lineRule="auto"/>
        <w:ind w:right="-15"/>
        <w:jc w:val="both"/>
        <w:outlineLvl w:val="0"/>
        <w:rPr>
          <w:i/>
        </w:rPr>
      </w:pPr>
      <w:r w:rsidRPr="007C5293">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Schienenverkehr und die Großrohr-Fertigung.  Im Geschäftsjahr 201</w:t>
      </w:r>
      <w:r>
        <w:rPr>
          <w:i/>
        </w:rPr>
        <w:t>6</w:t>
      </w:r>
      <w:r w:rsidRPr="007C5293">
        <w:rPr>
          <w:i/>
        </w:rPr>
        <w:t xml:space="preserve"> erzielte Schuler einen Umsatz von </w:t>
      </w:r>
      <w:r>
        <w:rPr>
          <w:i/>
        </w:rPr>
        <w:t>1.174</w:t>
      </w:r>
      <w:r w:rsidRPr="007C5293">
        <w:rPr>
          <w:i/>
        </w:rPr>
        <w:t xml:space="preserve"> Millionen Euro. Nach der Übernahme des Werkzeugbauers AWEBA und der Mehrheitsbeteiligung am chinesischen Pressenhersteller </w:t>
      </w:r>
      <w:proofErr w:type="spellStart"/>
      <w:r w:rsidRPr="007C5293">
        <w:rPr>
          <w:i/>
        </w:rPr>
        <w:t>Yadon</w:t>
      </w:r>
      <w:proofErr w:type="spellEnd"/>
      <w:r w:rsidRPr="007C5293">
        <w:rPr>
          <w:i/>
        </w:rPr>
        <w:t xml:space="preserve"> ist Schuler mit rund 6.</w:t>
      </w:r>
      <w:r>
        <w:rPr>
          <w:i/>
        </w:rPr>
        <w:t>6</w:t>
      </w:r>
      <w:r w:rsidRPr="007C5293">
        <w:rPr>
          <w:i/>
        </w:rPr>
        <w:t>00 Mitarbeitern in 40 Ländern präsent. Schuler gehört mehrheitlich zur österreichischen ANDRITZ-Gruppe.</w:t>
      </w:r>
    </w:p>
    <w:p w:rsidR="005833D5" w:rsidRPr="00C82B81" w:rsidRDefault="005833D5" w:rsidP="001B1B07">
      <w:pPr>
        <w:spacing w:line="240" w:lineRule="auto"/>
        <w:ind w:right="-15"/>
        <w:jc w:val="both"/>
        <w:outlineLvl w:val="0"/>
        <w:rPr>
          <w:i/>
        </w:rPr>
      </w:pPr>
      <w:r w:rsidRPr="00AF64B9">
        <w:t xml:space="preserve"> </w:t>
      </w:r>
    </w:p>
    <w:sectPr w:rsidR="005833D5" w:rsidRPr="00C82B81" w:rsidSect="007E1606">
      <w:headerReference w:type="default" r:id="rId16"/>
      <w:footerReference w:type="default" r:id="rId17"/>
      <w:headerReference w:type="first" r:id="rId18"/>
      <w:footerReference w:type="first" r:id="rId19"/>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8FB" w:rsidRDefault="007658FB" w:rsidP="007E132D">
      <w:r>
        <w:separator/>
      </w:r>
    </w:p>
    <w:p w:rsidR="007658FB" w:rsidRDefault="007658FB" w:rsidP="007E132D"/>
  </w:endnote>
  <w:endnote w:type="continuationSeparator" w:id="0">
    <w:p w:rsidR="007658FB" w:rsidRDefault="007658FB" w:rsidP="007E132D">
      <w:r>
        <w:continuationSeparator/>
      </w:r>
    </w:p>
    <w:p w:rsidR="007658FB" w:rsidRDefault="007658FB" w:rsidP="007E132D"/>
  </w:endnote>
  <w:endnote w:type="continuationNotice" w:id="1">
    <w:p w:rsidR="007658FB" w:rsidRDefault="007658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847D92">
            <w:rPr>
              <w:rFonts w:eastAsia="Calibri"/>
              <w:noProof/>
            </w:rPr>
            <w:instrText>7</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847D92">
            <w:rPr>
              <w:rFonts w:eastAsia="Calibri"/>
              <w:noProof/>
            </w:rPr>
            <w:instrText>6</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847D92">
            <w:rPr>
              <w:rFonts w:eastAsia="Calibri"/>
              <w:noProof/>
            </w:rPr>
            <w:instrText>7</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847D92" w:rsidRPr="007E1606">
            <w:rPr>
              <w:rFonts w:eastAsia="Calibri"/>
              <w:noProof/>
            </w:rPr>
            <w:t xml:space="preserve">Seite </w:t>
          </w:r>
          <w:r w:rsidR="00847D92">
            <w:rPr>
              <w:rFonts w:eastAsia="Calibri"/>
              <w:noProof/>
            </w:rPr>
            <w:t>6</w:t>
          </w:r>
          <w:r w:rsidR="00847D92" w:rsidRPr="007E1606">
            <w:rPr>
              <w:rFonts w:eastAsia="Calibri"/>
              <w:noProof/>
            </w:rPr>
            <w:t xml:space="preserve"> von </w:t>
          </w:r>
          <w:r w:rsidR="00847D92">
            <w:rPr>
              <w:rFonts w:eastAsia="Calibri"/>
              <w:noProof/>
            </w:rPr>
            <w:t>7</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8FB" w:rsidRDefault="007658FB" w:rsidP="007E132D">
      <w:r>
        <w:separator/>
      </w:r>
    </w:p>
    <w:p w:rsidR="007658FB" w:rsidRDefault="007658FB" w:rsidP="007E132D"/>
  </w:footnote>
  <w:footnote w:type="continuationSeparator" w:id="0">
    <w:p w:rsidR="007658FB" w:rsidRDefault="007658FB" w:rsidP="007E132D">
      <w:r>
        <w:continuationSeparator/>
      </w:r>
    </w:p>
    <w:p w:rsidR="007658FB" w:rsidRDefault="007658FB" w:rsidP="007E132D"/>
  </w:footnote>
  <w:footnote w:type="continuationNotice" w:id="1">
    <w:p w:rsidR="007658FB" w:rsidRDefault="007658FB">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4FB535F" wp14:editId="08BA32A4">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A3569DC" wp14:editId="1E2B042D">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2896675" wp14:editId="6C2C3BA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77F9EC8E" wp14:editId="49F507D6">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1D8A68D4"/>
    <w:multiLevelType w:val="hybridMultilevel"/>
    <w:tmpl w:val="84287694"/>
    <w:lvl w:ilvl="0" w:tplc="C4B4B0E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E794E09"/>
    <w:multiLevelType w:val="hybridMultilevel"/>
    <w:tmpl w:val="B7082D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6B6B24A9"/>
    <w:multiLevelType w:val="hybridMultilevel"/>
    <w:tmpl w:val="69BCED74"/>
    <w:lvl w:ilvl="0" w:tplc="8F0E8BF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E2F37E3"/>
    <w:multiLevelType w:val="hybridMultilevel"/>
    <w:tmpl w:val="8474D11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6"/>
  </w:num>
  <w:num w:numId="6">
    <w:abstractNumId w:val="11"/>
  </w:num>
  <w:num w:numId="7">
    <w:abstractNumId w:val="8"/>
  </w:num>
  <w:num w:numId="8">
    <w:abstractNumId w:val="0"/>
  </w:num>
  <w:num w:numId="9">
    <w:abstractNumId w:val="9"/>
  </w:num>
  <w:num w:numId="10">
    <w:abstractNumId w:val="10"/>
  </w:num>
  <w:num w:numId="11">
    <w:abstractNumId w:val="14"/>
  </w:num>
  <w:num w:numId="12">
    <w:abstractNumId w:val="13"/>
  </w:num>
  <w:num w:numId="13">
    <w:abstractNumId w:val="3"/>
  </w:num>
  <w:num w:numId="14">
    <w:abstractNumId w:val="1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6E"/>
    <w:rsid w:val="00003CBE"/>
    <w:rsid w:val="00004C7F"/>
    <w:rsid w:val="00020745"/>
    <w:rsid w:val="00021149"/>
    <w:rsid w:val="000262E3"/>
    <w:rsid w:val="00026F9E"/>
    <w:rsid w:val="00031750"/>
    <w:rsid w:val="00033BD2"/>
    <w:rsid w:val="00044918"/>
    <w:rsid w:val="00045F35"/>
    <w:rsid w:val="00060CF4"/>
    <w:rsid w:val="000612A3"/>
    <w:rsid w:val="00061C4B"/>
    <w:rsid w:val="000716BA"/>
    <w:rsid w:val="00072575"/>
    <w:rsid w:val="000731DE"/>
    <w:rsid w:val="000809FF"/>
    <w:rsid w:val="00086F40"/>
    <w:rsid w:val="000A01AD"/>
    <w:rsid w:val="000A52A8"/>
    <w:rsid w:val="000B30FE"/>
    <w:rsid w:val="000B704A"/>
    <w:rsid w:val="000C0CAD"/>
    <w:rsid w:val="000C2E6C"/>
    <w:rsid w:val="000D496E"/>
    <w:rsid w:val="000E228F"/>
    <w:rsid w:val="000E33AE"/>
    <w:rsid w:val="000F2F77"/>
    <w:rsid w:val="00102187"/>
    <w:rsid w:val="00104F2C"/>
    <w:rsid w:val="00111AB7"/>
    <w:rsid w:val="0012147B"/>
    <w:rsid w:val="00123E82"/>
    <w:rsid w:val="001269B3"/>
    <w:rsid w:val="00130A5F"/>
    <w:rsid w:val="00130B60"/>
    <w:rsid w:val="001343EF"/>
    <w:rsid w:val="00136218"/>
    <w:rsid w:val="00136E90"/>
    <w:rsid w:val="0013722E"/>
    <w:rsid w:val="00137A7A"/>
    <w:rsid w:val="00141274"/>
    <w:rsid w:val="0015001C"/>
    <w:rsid w:val="00152C69"/>
    <w:rsid w:val="001630AC"/>
    <w:rsid w:val="001631E1"/>
    <w:rsid w:val="0016339C"/>
    <w:rsid w:val="0016495A"/>
    <w:rsid w:val="00166EF0"/>
    <w:rsid w:val="00173722"/>
    <w:rsid w:val="0017697C"/>
    <w:rsid w:val="0017745F"/>
    <w:rsid w:val="001852B3"/>
    <w:rsid w:val="00186E44"/>
    <w:rsid w:val="00196EAD"/>
    <w:rsid w:val="001B1B07"/>
    <w:rsid w:val="001C1FA2"/>
    <w:rsid w:val="001C3EE2"/>
    <w:rsid w:val="001C49CA"/>
    <w:rsid w:val="001D7FC8"/>
    <w:rsid w:val="001E0C3C"/>
    <w:rsid w:val="001F02CA"/>
    <w:rsid w:val="001F6280"/>
    <w:rsid w:val="00201FB2"/>
    <w:rsid w:val="0020514D"/>
    <w:rsid w:val="002077B7"/>
    <w:rsid w:val="00212513"/>
    <w:rsid w:val="00215C8A"/>
    <w:rsid w:val="002168F2"/>
    <w:rsid w:val="002264C8"/>
    <w:rsid w:val="002315E0"/>
    <w:rsid w:val="002350D8"/>
    <w:rsid w:val="002375D7"/>
    <w:rsid w:val="0024368D"/>
    <w:rsid w:val="00262CAD"/>
    <w:rsid w:val="00270204"/>
    <w:rsid w:val="002712C2"/>
    <w:rsid w:val="00271690"/>
    <w:rsid w:val="00272E61"/>
    <w:rsid w:val="002A1D04"/>
    <w:rsid w:val="002A3A54"/>
    <w:rsid w:val="002A42B6"/>
    <w:rsid w:val="002A4B0E"/>
    <w:rsid w:val="002A6D71"/>
    <w:rsid w:val="002B391B"/>
    <w:rsid w:val="002B41E8"/>
    <w:rsid w:val="002B65A6"/>
    <w:rsid w:val="002C201D"/>
    <w:rsid w:val="002D1887"/>
    <w:rsid w:val="002D1BC7"/>
    <w:rsid w:val="002F0DD1"/>
    <w:rsid w:val="002F1C36"/>
    <w:rsid w:val="002F4C3B"/>
    <w:rsid w:val="002F5BC5"/>
    <w:rsid w:val="0031052B"/>
    <w:rsid w:val="003230D4"/>
    <w:rsid w:val="00323555"/>
    <w:rsid w:val="003301EF"/>
    <w:rsid w:val="00332940"/>
    <w:rsid w:val="00336BB1"/>
    <w:rsid w:val="00337A1F"/>
    <w:rsid w:val="003428AB"/>
    <w:rsid w:val="00356F4D"/>
    <w:rsid w:val="00363740"/>
    <w:rsid w:val="00364957"/>
    <w:rsid w:val="00365676"/>
    <w:rsid w:val="00365A9E"/>
    <w:rsid w:val="00371628"/>
    <w:rsid w:val="003728F6"/>
    <w:rsid w:val="00373C01"/>
    <w:rsid w:val="00377903"/>
    <w:rsid w:val="00377DED"/>
    <w:rsid w:val="003868B4"/>
    <w:rsid w:val="003908E3"/>
    <w:rsid w:val="00390E80"/>
    <w:rsid w:val="003973F9"/>
    <w:rsid w:val="003B7775"/>
    <w:rsid w:val="003C626A"/>
    <w:rsid w:val="003C7023"/>
    <w:rsid w:val="003D76C7"/>
    <w:rsid w:val="003E30C0"/>
    <w:rsid w:val="003F0681"/>
    <w:rsid w:val="003F122E"/>
    <w:rsid w:val="003F17F1"/>
    <w:rsid w:val="003F6888"/>
    <w:rsid w:val="003F73D0"/>
    <w:rsid w:val="004026E0"/>
    <w:rsid w:val="00403EFF"/>
    <w:rsid w:val="004107D4"/>
    <w:rsid w:val="00431EBF"/>
    <w:rsid w:val="004355F7"/>
    <w:rsid w:val="0043797F"/>
    <w:rsid w:val="00443C29"/>
    <w:rsid w:val="004469A3"/>
    <w:rsid w:val="004670BD"/>
    <w:rsid w:val="0047180C"/>
    <w:rsid w:val="00476782"/>
    <w:rsid w:val="00476D9C"/>
    <w:rsid w:val="00480D95"/>
    <w:rsid w:val="00485C6B"/>
    <w:rsid w:val="004914EF"/>
    <w:rsid w:val="004B2A6D"/>
    <w:rsid w:val="004B64DD"/>
    <w:rsid w:val="004C4B30"/>
    <w:rsid w:val="004C697D"/>
    <w:rsid w:val="004D48E7"/>
    <w:rsid w:val="004D76DD"/>
    <w:rsid w:val="00502373"/>
    <w:rsid w:val="00507599"/>
    <w:rsid w:val="00530098"/>
    <w:rsid w:val="00533491"/>
    <w:rsid w:val="00552A9D"/>
    <w:rsid w:val="005547DF"/>
    <w:rsid w:val="00556DD6"/>
    <w:rsid w:val="005574CD"/>
    <w:rsid w:val="0056768B"/>
    <w:rsid w:val="005700A9"/>
    <w:rsid w:val="00570724"/>
    <w:rsid w:val="00575FA0"/>
    <w:rsid w:val="005769A0"/>
    <w:rsid w:val="00582EFE"/>
    <w:rsid w:val="005833D5"/>
    <w:rsid w:val="005900C7"/>
    <w:rsid w:val="0059165D"/>
    <w:rsid w:val="00595D96"/>
    <w:rsid w:val="005A3F02"/>
    <w:rsid w:val="005A5910"/>
    <w:rsid w:val="005C0BBB"/>
    <w:rsid w:val="005C6AE3"/>
    <w:rsid w:val="005D20C1"/>
    <w:rsid w:val="005D60B7"/>
    <w:rsid w:val="005E57D0"/>
    <w:rsid w:val="005F6D99"/>
    <w:rsid w:val="00601238"/>
    <w:rsid w:val="0060142A"/>
    <w:rsid w:val="00617FB3"/>
    <w:rsid w:val="00646707"/>
    <w:rsid w:val="0065451D"/>
    <w:rsid w:val="00654B60"/>
    <w:rsid w:val="0065642C"/>
    <w:rsid w:val="00660D47"/>
    <w:rsid w:val="00671E3C"/>
    <w:rsid w:val="00673BF3"/>
    <w:rsid w:val="00674EF3"/>
    <w:rsid w:val="00677EBB"/>
    <w:rsid w:val="006813B8"/>
    <w:rsid w:val="00681D20"/>
    <w:rsid w:val="0068251B"/>
    <w:rsid w:val="006848FF"/>
    <w:rsid w:val="00687868"/>
    <w:rsid w:val="006908E0"/>
    <w:rsid w:val="00692415"/>
    <w:rsid w:val="006A04A0"/>
    <w:rsid w:val="006A31D9"/>
    <w:rsid w:val="006A659E"/>
    <w:rsid w:val="006A7F52"/>
    <w:rsid w:val="006C42B5"/>
    <w:rsid w:val="006C730C"/>
    <w:rsid w:val="006D0ACF"/>
    <w:rsid w:val="006D7242"/>
    <w:rsid w:val="006E3C9B"/>
    <w:rsid w:val="006E632D"/>
    <w:rsid w:val="006F407F"/>
    <w:rsid w:val="007007EC"/>
    <w:rsid w:val="00703E6F"/>
    <w:rsid w:val="00714E5C"/>
    <w:rsid w:val="0072042B"/>
    <w:rsid w:val="00726B8B"/>
    <w:rsid w:val="00733AAF"/>
    <w:rsid w:val="00735F8F"/>
    <w:rsid w:val="00736F21"/>
    <w:rsid w:val="00737048"/>
    <w:rsid w:val="00737AC9"/>
    <w:rsid w:val="00740306"/>
    <w:rsid w:val="007603ED"/>
    <w:rsid w:val="007658FB"/>
    <w:rsid w:val="00770316"/>
    <w:rsid w:val="007826E4"/>
    <w:rsid w:val="00784E5A"/>
    <w:rsid w:val="007928F0"/>
    <w:rsid w:val="00794AEE"/>
    <w:rsid w:val="007B01F1"/>
    <w:rsid w:val="007B0BF4"/>
    <w:rsid w:val="007B18EA"/>
    <w:rsid w:val="007B3C68"/>
    <w:rsid w:val="007B5B2D"/>
    <w:rsid w:val="007B7792"/>
    <w:rsid w:val="007C0127"/>
    <w:rsid w:val="007C16F5"/>
    <w:rsid w:val="007C2789"/>
    <w:rsid w:val="007D10BF"/>
    <w:rsid w:val="007D4FDB"/>
    <w:rsid w:val="007D508E"/>
    <w:rsid w:val="007D76D1"/>
    <w:rsid w:val="007E132D"/>
    <w:rsid w:val="007E1606"/>
    <w:rsid w:val="007F4512"/>
    <w:rsid w:val="00800FC9"/>
    <w:rsid w:val="008165FD"/>
    <w:rsid w:val="0082176E"/>
    <w:rsid w:val="00821B54"/>
    <w:rsid w:val="00821E5D"/>
    <w:rsid w:val="00822597"/>
    <w:rsid w:val="008258E8"/>
    <w:rsid w:val="00825A16"/>
    <w:rsid w:val="00830575"/>
    <w:rsid w:val="008334D5"/>
    <w:rsid w:val="00840BFE"/>
    <w:rsid w:val="00844D39"/>
    <w:rsid w:val="00847D92"/>
    <w:rsid w:val="00853278"/>
    <w:rsid w:val="008618F3"/>
    <w:rsid w:val="00865B83"/>
    <w:rsid w:val="00870B93"/>
    <w:rsid w:val="008718D2"/>
    <w:rsid w:val="0087295F"/>
    <w:rsid w:val="008746C7"/>
    <w:rsid w:val="00876D34"/>
    <w:rsid w:val="00876E6E"/>
    <w:rsid w:val="00877DC8"/>
    <w:rsid w:val="00885551"/>
    <w:rsid w:val="00894865"/>
    <w:rsid w:val="00896BEF"/>
    <w:rsid w:val="008C0F9D"/>
    <w:rsid w:val="008C6578"/>
    <w:rsid w:val="008D1374"/>
    <w:rsid w:val="008D67FA"/>
    <w:rsid w:val="008D6D32"/>
    <w:rsid w:val="008E1F8F"/>
    <w:rsid w:val="008F5E25"/>
    <w:rsid w:val="009060ED"/>
    <w:rsid w:val="00920948"/>
    <w:rsid w:val="00926076"/>
    <w:rsid w:val="00941203"/>
    <w:rsid w:val="00957449"/>
    <w:rsid w:val="00960075"/>
    <w:rsid w:val="00961469"/>
    <w:rsid w:val="009625BC"/>
    <w:rsid w:val="00975A13"/>
    <w:rsid w:val="00983A2F"/>
    <w:rsid w:val="009A1AA4"/>
    <w:rsid w:val="009A680E"/>
    <w:rsid w:val="009B2577"/>
    <w:rsid w:val="009B3EB7"/>
    <w:rsid w:val="009B52FC"/>
    <w:rsid w:val="009B7172"/>
    <w:rsid w:val="009C147A"/>
    <w:rsid w:val="009D02B8"/>
    <w:rsid w:val="009E26A3"/>
    <w:rsid w:val="009E2F4C"/>
    <w:rsid w:val="009E759C"/>
    <w:rsid w:val="009F22A5"/>
    <w:rsid w:val="009F3063"/>
    <w:rsid w:val="009F65F3"/>
    <w:rsid w:val="00A0214C"/>
    <w:rsid w:val="00A15FD6"/>
    <w:rsid w:val="00A166C4"/>
    <w:rsid w:val="00A31D72"/>
    <w:rsid w:val="00A32B85"/>
    <w:rsid w:val="00A35BFC"/>
    <w:rsid w:val="00A37F3D"/>
    <w:rsid w:val="00A46561"/>
    <w:rsid w:val="00A500A4"/>
    <w:rsid w:val="00A60287"/>
    <w:rsid w:val="00A65B80"/>
    <w:rsid w:val="00A71C85"/>
    <w:rsid w:val="00A74933"/>
    <w:rsid w:val="00A804A0"/>
    <w:rsid w:val="00A84E6A"/>
    <w:rsid w:val="00A86ACD"/>
    <w:rsid w:val="00A9156A"/>
    <w:rsid w:val="00A91986"/>
    <w:rsid w:val="00A93519"/>
    <w:rsid w:val="00A94C21"/>
    <w:rsid w:val="00AC55D1"/>
    <w:rsid w:val="00AC6510"/>
    <w:rsid w:val="00AE140E"/>
    <w:rsid w:val="00AE3AFF"/>
    <w:rsid w:val="00AF2A76"/>
    <w:rsid w:val="00AF2D43"/>
    <w:rsid w:val="00AF64B9"/>
    <w:rsid w:val="00AF64C6"/>
    <w:rsid w:val="00B01B58"/>
    <w:rsid w:val="00B066AC"/>
    <w:rsid w:val="00B06BC4"/>
    <w:rsid w:val="00B17B0A"/>
    <w:rsid w:val="00B206B1"/>
    <w:rsid w:val="00B23715"/>
    <w:rsid w:val="00B307A6"/>
    <w:rsid w:val="00B44425"/>
    <w:rsid w:val="00B473D6"/>
    <w:rsid w:val="00B47659"/>
    <w:rsid w:val="00B55136"/>
    <w:rsid w:val="00B762C9"/>
    <w:rsid w:val="00B86DA7"/>
    <w:rsid w:val="00B870FD"/>
    <w:rsid w:val="00BA09F2"/>
    <w:rsid w:val="00BA499E"/>
    <w:rsid w:val="00BC3523"/>
    <w:rsid w:val="00C052F5"/>
    <w:rsid w:val="00C41C0F"/>
    <w:rsid w:val="00C47DAA"/>
    <w:rsid w:val="00C552CA"/>
    <w:rsid w:val="00C62740"/>
    <w:rsid w:val="00C70235"/>
    <w:rsid w:val="00C72CD3"/>
    <w:rsid w:val="00C7357A"/>
    <w:rsid w:val="00C76E68"/>
    <w:rsid w:val="00C827F0"/>
    <w:rsid w:val="00C82B81"/>
    <w:rsid w:val="00C85C10"/>
    <w:rsid w:val="00C860F0"/>
    <w:rsid w:val="00C96DAD"/>
    <w:rsid w:val="00CB2B5C"/>
    <w:rsid w:val="00CB4BBE"/>
    <w:rsid w:val="00CB67B8"/>
    <w:rsid w:val="00CC5432"/>
    <w:rsid w:val="00CC7CCA"/>
    <w:rsid w:val="00CD1847"/>
    <w:rsid w:val="00CD3AA7"/>
    <w:rsid w:val="00CD5930"/>
    <w:rsid w:val="00CF18B5"/>
    <w:rsid w:val="00D14566"/>
    <w:rsid w:val="00D15E35"/>
    <w:rsid w:val="00D16703"/>
    <w:rsid w:val="00D20AFE"/>
    <w:rsid w:val="00D36969"/>
    <w:rsid w:val="00D43E4E"/>
    <w:rsid w:val="00D4577B"/>
    <w:rsid w:val="00D55C5C"/>
    <w:rsid w:val="00D5679F"/>
    <w:rsid w:val="00D70424"/>
    <w:rsid w:val="00D73325"/>
    <w:rsid w:val="00D76894"/>
    <w:rsid w:val="00D82AE7"/>
    <w:rsid w:val="00DA1C30"/>
    <w:rsid w:val="00DB04FA"/>
    <w:rsid w:val="00DB2BB2"/>
    <w:rsid w:val="00DB3F3F"/>
    <w:rsid w:val="00DB73FC"/>
    <w:rsid w:val="00DC5C7D"/>
    <w:rsid w:val="00DC5DAA"/>
    <w:rsid w:val="00DC7EF7"/>
    <w:rsid w:val="00DD16C5"/>
    <w:rsid w:val="00DD41C4"/>
    <w:rsid w:val="00DE35EB"/>
    <w:rsid w:val="00DE6930"/>
    <w:rsid w:val="00DF4D75"/>
    <w:rsid w:val="00DF7197"/>
    <w:rsid w:val="00E06A19"/>
    <w:rsid w:val="00E10200"/>
    <w:rsid w:val="00E10C5D"/>
    <w:rsid w:val="00E10CA8"/>
    <w:rsid w:val="00E207BB"/>
    <w:rsid w:val="00E2304D"/>
    <w:rsid w:val="00E23EF1"/>
    <w:rsid w:val="00E26828"/>
    <w:rsid w:val="00E3363B"/>
    <w:rsid w:val="00E36721"/>
    <w:rsid w:val="00E37343"/>
    <w:rsid w:val="00E4095F"/>
    <w:rsid w:val="00E41AB6"/>
    <w:rsid w:val="00E44E45"/>
    <w:rsid w:val="00E50F8F"/>
    <w:rsid w:val="00E5769E"/>
    <w:rsid w:val="00E6320B"/>
    <w:rsid w:val="00E753DF"/>
    <w:rsid w:val="00E76694"/>
    <w:rsid w:val="00E85A97"/>
    <w:rsid w:val="00E90330"/>
    <w:rsid w:val="00E9449F"/>
    <w:rsid w:val="00E94A8B"/>
    <w:rsid w:val="00E94CAA"/>
    <w:rsid w:val="00EA0877"/>
    <w:rsid w:val="00EA54FD"/>
    <w:rsid w:val="00EA7DC3"/>
    <w:rsid w:val="00EB1C2E"/>
    <w:rsid w:val="00EC0313"/>
    <w:rsid w:val="00EC73C7"/>
    <w:rsid w:val="00ED091A"/>
    <w:rsid w:val="00ED444E"/>
    <w:rsid w:val="00EE01A2"/>
    <w:rsid w:val="00EE69FD"/>
    <w:rsid w:val="00F002F6"/>
    <w:rsid w:val="00F113F7"/>
    <w:rsid w:val="00F23257"/>
    <w:rsid w:val="00F23AAD"/>
    <w:rsid w:val="00F32AA1"/>
    <w:rsid w:val="00F44765"/>
    <w:rsid w:val="00F5073A"/>
    <w:rsid w:val="00F53696"/>
    <w:rsid w:val="00F5709F"/>
    <w:rsid w:val="00F654EB"/>
    <w:rsid w:val="00F733D5"/>
    <w:rsid w:val="00F7676C"/>
    <w:rsid w:val="00F96C5F"/>
    <w:rsid w:val="00FA05BB"/>
    <w:rsid w:val="00FA3849"/>
    <w:rsid w:val="00FB695F"/>
    <w:rsid w:val="00FC0D07"/>
    <w:rsid w:val="00FC33E5"/>
    <w:rsid w:val="00FC7FFD"/>
    <w:rsid w:val="00FD1AC7"/>
    <w:rsid w:val="00FE2FB7"/>
    <w:rsid w:val="00FF2727"/>
    <w:rsid w:val="00FF32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 w:type="paragraph" w:styleId="Kommentarthema">
    <w:name w:val="annotation subject"/>
    <w:basedOn w:val="Kommentartext"/>
    <w:next w:val="Kommentartext"/>
    <w:link w:val="KommentarthemaZchn"/>
    <w:semiHidden/>
    <w:unhideWhenUsed/>
    <w:rsid w:val="00DA1C30"/>
    <w:rPr>
      <w:b/>
      <w:bCs/>
    </w:rPr>
  </w:style>
  <w:style w:type="character" w:customStyle="1" w:styleId="KommentarthemaZchn">
    <w:name w:val="Kommentarthema Zchn"/>
    <w:basedOn w:val="KommentartextZchn"/>
    <w:link w:val="Kommentarthema"/>
    <w:semiHidden/>
    <w:rsid w:val="00DA1C30"/>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 w:type="paragraph" w:styleId="Kommentarthema">
    <w:name w:val="annotation subject"/>
    <w:basedOn w:val="Kommentartext"/>
    <w:next w:val="Kommentartext"/>
    <w:link w:val="KommentarthemaZchn"/>
    <w:semiHidden/>
    <w:unhideWhenUsed/>
    <w:rsid w:val="00DA1C30"/>
    <w:rPr>
      <w:b/>
      <w:bCs/>
    </w:rPr>
  </w:style>
  <w:style w:type="character" w:customStyle="1" w:styleId="KommentarthemaZchn">
    <w:name w:val="Kommentarthema Zchn"/>
    <w:basedOn w:val="KommentartextZchn"/>
    <w:link w:val="Kommentarthema"/>
    <w:semiHidden/>
    <w:rsid w:val="00DA1C30"/>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702">
      <w:bodyDiv w:val="1"/>
      <w:marLeft w:val="0"/>
      <w:marRight w:val="0"/>
      <w:marTop w:val="0"/>
      <w:marBottom w:val="0"/>
      <w:divBdr>
        <w:top w:val="none" w:sz="0" w:space="0" w:color="auto"/>
        <w:left w:val="none" w:sz="0" w:space="0" w:color="auto"/>
        <w:bottom w:val="none" w:sz="0" w:space="0" w:color="auto"/>
        <w:right w:val="none" w:sz="0" w:space="0" w:color="auto"/>
      </w:divBdr>
    </w:div>
    <w:div w:id="158739086">
      <w:bodyDiv w:val="1"/>
      <w:marLeft w:val="0"/>
      <w:marRight w:val="0"/>
      <w:marTop w:val="0"/>
      <w:marBottom w:val="0"/>
      <w:divBdr>
        <w:top w:val="none" w:sz="0" w:space="0" w:color="auto"/>
        <w:left w:val="none" w:sz="0" w:space="0" w:color="auto"/>
        <w:bottom w:val="none" w:sz="0" w:space="0" w:color="auto"/>
        <w:right w:val="none" w:sz="0" w:space="0" w:color="auto"/>
      </w:divBdr>
    </w:div>
    <w:div w:id="300431301">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17282283">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60842873">
      <w:bodyDiv w:val="1"/>
      <w:marLeft w:val="0"/>
      <w:marRight w:val="0"/>
      <w:marTop w:val="0"/>
      <w:marBottom w:val="0"/>
      <w:divBdr>
        <w:top w:val="none" w:sz="0" w:space="0" w:color="auto"/>
        <w:left w:val="none" w:sz="0" w:space="0" w:color="auto"/>
        <w:bottom w:val="none" w:sz="0" w:space="0" w:color="auto"/>
        <w:right w:val="none" w:sz="0" w:space="0" w:color="auto"/>
      </w:divBdr>
    </w:div>
    <w:div w:id="1049306580">
      <w:bodyDiv w:val="1"/>
      <w:marLeft w:val="0"/>
      <w:marRight w:val="0"/>
      <w:marTop w:val="0"/>
      <w:marBottom w:val="0"/>
      <w:divBdr>
        <w:top w:val="none" w:sz="0" w:space="0" w:color="auto"/>
        <w:left w:val="none" w:sz="0" w:space="0" w:color="auto"/>
        <w:bottom w:val="none" w:sz="0" w:space="0" w:color="auto"/>
        <w:right w:val="none" w:sz="0" w:space="0" w:color="auto"/>
      </w:divBdr>
    </w:div>
    <w:div w:id="1117529163">
      <w:bodyDiv w:val="1"/>
      <w:marLeft w:val="0"/>
      <w:marRight w:val="0"/>
      <w:marTop w:val="0"/>
      <w:marBottom w:val="0"/>
      <w:divBdr>
        <w:top w:val="none" w:sz="0" w:space="0" w:color="auto"/>
        <w:left w:val="none" w:sz="0" w:space="0" w:color="auto"/>
        <w:bottom w:val="none" w:sz="0" w:space="0" w:color="auto"/>
        <w:right w:val="none" w:sz="0" w:space="0" w:color="auto"/>
      </w:divBdr>
      <w:divsChild>
        <w:div w:id="926618100">
          <w:marLeft w:val="0"/>
          <w:marRight w:val="0"/>
          <w:marTop w:val="0"/>
          <w:marBottom w:val="0"/>
          <w:divBdr>
            <w:top w:val="none" w:sz="0" w:space="0" w:color="auto"/>
            <w:left w:val="none" w:sz="0" w:space="0" w:color="auto"/>
            <w:bottom w:val="none" w:sz="0" w:space="0" w:color="auto"/>
            <w:right w:val="none" w:sz="0" w:space="0" w:color="auto"/>
          </w:divBdr>
          <w:divsChild>
            <w:div w:id="1098215750">
              <w:marLeft w:val="0"/>
              <w:marRight w:val="0"/>
              <w:marTop w:val="0"/>
              <w:marBottom w:val="0"/>
              <w:divBdr>
                <w:top w:val="none" w:sz="0" w:space="0" w:color="auto"/>
                <w:left w:val="none" w:sz="0" w:space="0" w:color="auto"/>
                <w:bottom w:val="none" w:sz="0" w:space="0" w:color="auto"/>
                <w:right w:val="none" w:sz="0" w:space="0" w:color="auto"/>
              </w:divBdr>
              <w:divsChild>
                <w:div w:id="1408722332">
                  <w:marLeft w:val="0"/>
                  <w:marRight w:val="0"/>
                  <w:marTop w:val="375"/>
                  <w:marBottom w:val="0"/>
                  <w:divBdr>
                    <w:top w:val="single" w:sz="6" w:space="0" w:color="CCCCCC"/>
                    <w:left w:val="single" w:sz="6" w:space="0" w:color="CCCCCC"/>
                    <w:bottom w:val="single" w:sz="6" w:space="0" w:color="CCCCCC"/>
                    <w:right w:val="single" w:sz="6" w:space="0" w:color="CCCCCC"/>
                  </w:divBdr>
                  <w:divsChild>
                    <w:div w:id="152543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49341680">
      <w:bodyDiv w:val="1"/>
      <w:marLeft w:val="0"/>
      <w:marRight w:val="0"/>
      <w:marTop w:val="0"/>
      <w:marBottom w:val="0"/>
      <w:divBdr>
        <w:top w:val="none" w:sz="0" w:space="0" w:color="auto"/>
        <w:left w:val="none" w:sz="0" w:space="0" w:color="auto"/>
        <w:bottom w:val="none" w:sz="0" w:space="0" w:color="auto"/>
        <w:right w:val="none" w:sz="0" w:space="0" w:color="auto"/>
      </w:divBdr>
    </w:div>
    <w:div w:id="1259487539">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20545035">
      <w:bodyDiv w:val="1"/>
      <w:marLeft w:val="0"/>
      <w:marRight w:val="0"/>
      <w:marTop w:val="0"/>
      <w:marBottom w:val="0"/>
      <w:divBdr>
        <w:top w:val="none" w:sz="0" w:space="0" w:color="auto"/>
        <w:left w:val="none" w:sz="0" w:space="0" w:color="auto"/>
        <w:bottom w:val="none" w:sz="0" w:space="0" w:color="auto"/>
        <w:right w:val="none" w:sz="0" w:space="0" w:color="auto"/>
      </w:divBdr>
    </w:div>
    <w:div w:id="191465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ulergroup.com/investor_relations/finanzberichte" TargetMode="External"/><Relationship Id="rId5" Type="http://schemas.openxmlformats.org/officeDocument/2006/relationships/settings" Target="settings.xml"/><Relationship Id="rId15" Type="http://schemas.openxmlformats.org/officeDocument/2006/relationships/hyperlink" Target="http://www.schulergroup.com" TargetMode="External"/><Relationship Id="rId10" Type="http://schemas.openxmlformats.org/officeDocument/2006/relationships/hyperlink" Target="http://www.schulergroup.com/pr"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Hans.Obermeier@schulergroup.com"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15E96-83F2-4F65-90CC-A0E3BE9D8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1185</Words>
  <Characters>8178</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9345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Simon Scherrenbacher</cp:lastModifiedBy>
  <cp:revision>12</cp:revision>
  <cp:lastPrinted>2017-02-07T08:41:00Z</cp:lastPrinted>
  <dcterms:created xsi:type="dcterms:W3CDTF">2017-03-02T08:28:00Z</dcterms:created>
  <dcterms:modified xsi:type="dcterms:W3CDTF">2017-03-02T12:45:00Z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277618047</vt:i4>
  </property>
  <property fmtid="{D5CDD505-2E9C-101B-9397-08002B2CF9AE}" pid="4" name="_EmailSubject">
    <vt:lpwstr>BPK Sondererträge</vt:lpwstr>
  </property>
  <property fmtid="{D5CDD505-2E9C-101B-9397-08002B2CF9AE}" pid="5" name="_AuthorEmail">
    <vt:lpwstr>Hans.Obermeier@schulergroup.com</vt:lpwstr>
  </property>
  <property fmtid="{D5CDD505-2E9C-101B-9397-08002B2CF9AE}" pid="6" name="_AuthorEmailDisplayName">
    <vt:lpwstr>Obermeier, Hans &lt;Hans.Obermeier@schulergroup.com&gt;</vt:lpwstr>
  </property>
  <property fmtid="{D5CDD505-2E9C-101B-9397-08002B2CF9AE}" pid="7" name="_PreviousAdHocReviewCycleID">
    <vt:i4>1347975806</vt:i4>
  </property>
  <property fmtid="{D5CDD505-2E9C-101B-9397-08002B2CF9AE}" pid="8" name="_ReviewingToolsShownOnce">
    <vt:lpwstr/>
  </property>
</Properties>
</file>