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62744A" w14:textId="23009302" w:rsidR="00595D96" w:rsidRPr="00DB533C" w:rsidRDefault="00C47A9E" w:rsidP="00365A9E">
      <w:pPr>
        <w:pStyle w:val="berschrift1"/>
        <w:rPr>
          <w:lang w:val="en-US"/>
        </w:rPr>
      </w:pPr>
      <w:r w:rsidRPr="00DB533C">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F2A76" w:rsidRPr="00DB533C" w14:paraId="06A73F84" w14:textId="77777777" w:rsidTr="00432CC7">
        <w:trPr>
          <w:trHeight w:hRule="exact" w:val="2977"/>
        </w:trPr>
        <w:tc>
          <w:tcPr>
            <w:tcW w:w="2409" w:type="dxa"/>
            <w:shd w:val="clear" w:color="auto" w:fill="auto"/>
          </w:tcPr>
          <w:p w14:paraId="1F35313F" w14:textId="77777777" w:rsidR="00C47A9E" w:rsidRPr="00F405D2" w:rsidRDefault="00C47A9E" w:rsidP="00C47A9E">
            <w:pPr>
              <w:spacing w:line="226" w:lineRule="exact"/>
              <w:rPr>
                <w:rFonts w:eastAsia="Calibri"/>
                <w:b/>
                <w:sz w:val="17"/>
                <w:szCs w:val="17"/>
                <w:lang w:eastAsia="en-US"/>
              </w:rPr>
            </w:pPr>
            <w:r w:rsidRPr="00F405D2">
              <w:rPr>
                <w:rFonts w:eastAsia="Calibri"/>
                <w:b/>
                <w:sz w:val="17"/>
                <w:szCs w:val="17"/>
                <w:lang w:eastAsia="en-US"/>
              </w:rPr>
              <w:t>Schuler AG</w:t>
            </w:r>
          </w:p>
          <w:p w14:paraId="56AF0F1C" w14:textId="77777777" w:rsidR="00C47A9E" w:rsidRPr="00F405D2" w:rsidRDefault="00C47A9E" w:rsidP="00C47A9E">
            <w:pPr>
              <w:spacing w:line="226" w:lineRule="exact"/>
              <w:rPr>
                <w:rFonts w:eastAsia="Calibri"/>
                <w:sz w:val="17"/>
                <w:szCs w:val="17"/>
                <w:lang w:eastAsia="en-US"/>
              </w:rPr>
            </w:pPr>
            <w:r w:rsidRPr="00F405D2">
              <w:rPr>
                <w:rFonts w:eastAsia="Calibri"/>
                <w:sz w:val="17"/>
                <w:szCs w:val="17"/>
                <w:lang w:eastAsia="en-US"/>
              </w:rPr>
              <w:t>Bahnhofstrasse 41</w:t>
            </w:r>
          </w:p>
          <w:p w14:paraId="14E37B1E" w14:textId="77777777" w:rsidR="00C47A9E" w:rsidRPr="00F405D2" w:rsidRDefault="00C47A9E" w:rsidP="00C47A9E">
            <w:pPr>
              <w:spacing w:line="226" w:lineRule="exact"/>
              <w:rPr>
                <w:rFonts w:eastAsia="Calibri"/>
                <w:sz w:val="17"/>
                <w:szCs w:val="17"/>
                <w:lang w:eastAsia="en-US"/>
              </w:rPr>
            </w:pPr>
            <w:r w:rsidRPr="00F405D2">
              <w:rPr>
                <w:rFonts w:eastAsia="Calibri"/>
                <w:sz w:val="17"/>
                <w:szCs w:val="17"/>
                <w:lang w:eastAsia="en-US"/>
              </w:rPr>
              <w:t>73033 Göppingen</w:t>
            </w:r>
          </w:p>
          <w:p w14:paraId="75F6EE7C" w14:textId="77777777" w:rsidR="00C47A9E" w:rsidRPr="00F405D2" w:rsidRDefault="00C47A9E" w:rsidP="00C47A9E">
            <w:pPr>
              <w:spacing w:line="226" w:lineRule="exact"/>
              <w:rPr>
                <w:rFonts w:eastAsia="Calibri"/>
                <w:sz w:val="17"/>
                <w:szCs w:val="17"/>
                <w:lang w:eastAsia="en-US"/>
              </w:rPr>
            </w:pPr>
            <w:r w:rsidRPr="00F405D2">
              <w:rPr>
                <w:rFonts w:eastAsia="Calibri"/>
                <w:sz w:val="17"/>
                <w:szCs w:val="17"/>
                <w:lang w:eastAsia="en-US"/>
              </w:rPr>
              <w:t>Germany</w:t>
            </w:r>
          </w:p>
          <w:p w14:paraId="1D27FAEB" w14:textId="77777777" w:rsidR="00C47A9E" w:rsidRPr="00F405D2" w:rsidRDefault="00C47A9E" w:rsidP="00C47A9E">
            <w:pPr>
              <w:spacing w:line="226" w:lineRule="exact"/>
              <w:rPr>
                <w:rFonts w:eastAsia="Calibri"/>
                <w:sz w:val="17"/>
                <w:szCs w:val="17"/>
                <w:lang w:eastAsia="en-US"/>
              </w:rPr>
            </w:pPr>
          </w:p>
          <w:p w14:paraId="21D1C431" w14:textId="77777777" w:rsidR="00C47A9E" w:rsidRPr="00F405D2" w:rsidRDefault="00C47A9E" w:rsidP="00C47A9E">
            <w:pPr>
              <w:spacing w:line="226" w:lineRule="exact"/>
              <w:rPr>
                <w:rFonts w:eastAsia="Calibri"/>
                <w:b/>
                <w:sz w:val="17"/>
                <w:szCs w:val="17"/>
                <w:lang w:eastAsia="en-US"/>
              </w:rPr>
            </w:pPr>
            <w:r w:rsidRPr="00F405D2">
              <w:rPr>
                <w:rFonts w:eastAsia="Calibri"/>
                <w:b/>
                <w:sz w:val="17"/>
                <w:szCs w:val="17"/>
                <w:lang w:eastAsia="en-US"/>
              </w:rPr>
              <w:t>Hans Obermeier</w:t>
            </w:r>
          </w:p>
          <w:p w14:paraId="076055D5" w14:textId="77777777" w:rsidR="00C47A9E" w:rsidRPr="00DB533C" w:rsidRDefault="00C47A9E" w:rsidP="00C47A9E">
            <w:pPr>
              <w:spacing w:line="226" w:lineRule="exact"/>
              <w:rPr>
                <w:rFonts w:eastAsia="Calibri"/>
                <w:sz w:val="17"/>
                <w:szCs w:val="17"/>
                <w:lang w:val="en-US" w:eastAsia="en-US"/>
              </w:rPr>
            </w:pPr>
            <w:r w:rsidRPr="00DB533C">
              <w:rPr>
                <w:rFonts w:eastAsia="Calibri"/>
                <w:sz w:val="17"/>
                <w:szCs w:val="17"/>
                <w:lang w:val="en-US" w:eastAsia="en-US"/>
              </w:rPr>
              <w:t>Press Spokesman</w:t>
            </w:r>
          </w:p>
          <w:p w14:paraId="20FD1FEA" w14:textId="08BD3D06" w:rsidR="00AF2A76" w:rsidRPr="00DB533C" w:rsidRDefault="00C47A9E" w:rsidP="00AF2A76">
            <w:pPr>
              <w:spacing w:line="226" w:lineRule="exact"/>
              <w:rPr>
                <w:rFonts w:eastAsia="Calibri"/>
                <w:sz w:val="17"/>
                <w:szCs w:val="17"/>
                <w:lang w:val="en-US" w:eastAsia="en-US"/>
              </w:rPr>
            </w:pPr>
            <w:r w:rsidRPr="00DB533C">
              <w:rPr>
                <w:rFonts w:eastAsia="Calibri"/>
                <w:sz w:val="17"/>
                <w:szCs w:val="17"/>
                <w:lang w:val="en-US" w:eastAsia="en-US"/>
              </w:rPr>
              <w:t xml:space="preserve">Phone </w:t>
            </w:r>
            <w:r w:rsidR="00AF2A76" w:rsidRPr="00DB533C">
              <w:rPr>
                <w:rFonts w:eastAsia="Calibri"/>
                <w:sz w:val="17"/>
                <w:szCs w:val="17"/>
                <w:lang w:val="en-US" w:eastAsia="en-US"/>
              </w:rPr>
              <w:t>+49 151 1204 4531</w:t>
            </w:r>
          </w:p>
          <w:p w14:paraId="29BE12B9" w14:textId="77777777" w:rsidR="00AF2A76" w:rsidRPr="00DB533C" w:rsidRDefault="00AF2A76" w:rsidP="00AF2A76">
            <w:pPr>
              <w:spacing w:line="226" w:lineRule="exact"/>
              <w:rPr>
                <w:rFonts w:eastAsia="Calibri"/>
                <w:sz w:val="17"/>
                <w:szCs w:val="17"/>
                <w:lang w:val="en-US" w:eastAsia="en-US"/>
              </w:rPr>
            </w:pPr>
            <w:r w:rsidRPr="00DB533C">
              <w:rPr>
                <w:rFonts w:eastAsia="Calibri"/>
                <w:sz w:val="17"/>
                <w:szCs w:val="17"/>
                <w:lang w:val="en-US" w:eastAsia="en-US"/>
              </w:rPr>
              <w:t>Fax +49 7161 66-907</w:t>
            </w:r>
          </w:p>
          <w:p w14:paraId="7BE11E51" w14:textId="77777777" w:rsidR="00AF2A76" w:rsidRPr="00DB533C" w:rsidRDefault="00F405D2" w:rsidP="00AF2A76">
            <w:pPr>
              <w:spacing w:line="226" w:lineRule="exact"/>
              <w:rPr>
                <w:rFonts w:eastAsia="Calibri"/>
                <w:sz w:val="17"/>
                <w:szCs w:val="17"/>
                <w:lang w:val="en-US" w:eastAsia="en-US"/>
              </w:rPr>
            </w:pPr>
            <w:hyperlink r:id="rId9" w:history="1">
              <w:r w:rsidR="007D76D1" w:rsidRPr="00DB533C">
                <w:rPr>
                  <w:rStyle w:val="Hyperlink"/>
                  <w:rFonts w:eastAsia="Calibri"/>
                  <w:sz w:val="17"/>
                  <w:szCs w:val="17"/>
                  <w:lang w:val="en-US" w:eastAsia="en-US"/>
                </w:rPr>
                <w:t>Hans.Obermeier@</w:t>
              </w:r>
              <w:r w:rsidR="007D76D1" w:rsidRPr="00DB533C">
                <w:rPr>
                  <w:rStyle w:val="Hyperlink"/>
                  <w:rFonts w:eastAsia="Calibri"/>
                  <w:sz w:val="17"/>
                  <w:szCs w:val="17"/>
                  <w:lang w:val="en-US" w:eastAsia="en-US"/>
                </w:rPr>
                <w:br/>
                <w:t>schulergroup.com</w:t>
              </w:r>
            </w:hyperlink>
          </w:p>
          <w:p w14:paraId="065504D6" w14:textId="77777777" w:rsidR="00AF2A76" w:rsidRPr="00DB533C" w:rsidRDefault="00F405D2" w:rsidP="00AF2A76">
            <w:pPr>
              <w:spacing w:line="226" w:lineRule="exact"/>
              <w:rPr>
                <w:rFonts w:eastAsia="Calibri"/>
                <w:sz w:val="17"/>
                <w:szCs w:val="17"/>
                <w:lang w:val="en-US" w:eastAsia="en-US"/>
              </w:rPr>
            </w:pPr>
            <w:hyperlink r:id="rId10" w:history="1">
              <w:r w:rsidR="00AF2A76" w:rsidRPr="00DB533C">
                <w:rPr>
                  <w:rStyle w:val="Hyperlink"/>
                  <w:rFonts w:eastAsia="Calibri"/>
                  <w:sz w:val="17"/>
                  <w:szCs w:val="17"/>
                  <w:lang w:val="en-US" w:eastAsia="en-US"/>
                </w:rPr>
                <w:t>www.schulergroup.com/pr</w:t>
              </w:r>
            </w:hyperlink>
          </w:p>
        </w:tc>
      </w:tr>
      <w:tr w:rsidR="004C4B30" w:rsidRPr="00DB533C" w14:paraId="7A576AB9" w14:textId="77777777" w:rsidTr="008E1F8F">
        <w:trPr>
          <w:trHeight w:hRule="exact" w:val="2977"/>
        </w:trPr>
        <w:tc>
          <w:tcPr>
            <w:tcW w:w="2409" w:type="dxa"/>
            <w:shd w:val="clear" w:color="auto" w:fill="auto"/>
          </w:tcPr>
          <w:p w14:paraId="593C6027" w14:textId="77777777" w:rsidR="004C4B30" w:rsidRPr="00DB533C" w:rsidRDefault="004C4B30" w:rsidP="008E1F8F">
            <w:pPr>
              <w:spacing w:line="226" w:lineRule="exact"/>
              <w:rPr>
                <w:rFonts w:eastAsia="Calibri"/>
                <w:sz w:val="17"/>
                <w:szCs w:val="17"/>
                <w:lang w:val="en-US" w:eastAsia="en-US"/>
              </w:rPr>
            </w:pPr>
          </w:p>
          <w:p w14:paraId="7C4190A8" w14:textId="77777777" w:rsidR="004C4B30" w:rsidRPr="00DB533C" w:rsidRDefault="004C4B30" w:rsidP="008E1F8F">
            <w:pPr>
              <w:spacing w:line="226" w:lineRule="exact"/>
              <w:rPr>
                <w:rFonts w:eastAsia="Calibri"/>
                <w:sz w:val="17"/>
                <w:szCs w:val="17"/>
                <w:lang w:val="en-US" w:eastAsia="en-US"/>
              </w:rPr>
            </w:pPr>
          </w:p>
        </w:tc>
      </w:tr>
    </w:tbl>
    <w:p w14:paraId="06A6386B" w14:textId="77777777" w:rsidR="007E1606" w:rsidRPr="00DB533C" w:rsidRDefault="007E1606" w:rsidP="000E33AE">
      <w:pPr>
        <w:pStyle w:val="Listenabsatz0"/>
        <w:rPr>
          <w:lang w:val="en-US"/>
        </w:rPr>
      </w:pPr>
    </w:p>
    <w:p w14:paraId="31CF0211" w14:textId="77777777" w:rsidR="00476D9C" w:rsidRPr="00DB533C" w:rsidRDefault="00476D9C" w:rsidP="007E132D">
      <w:pPr>
        <w:rPr>
          <w:lang w:val="en-US"/>
        </w:rPr>
      </w:pPr>
    </w:p>
    <w:p w14:paraId="6D8F0B8F" w14:textId="77777777" w:rsidR="00127E08" w:rsidRPr="00DB533C" w:rsidRDefault="00127E08" w:rsidP="007E132D">
      <w:pPr>
        <w:rPr>
          <w:lang w:val="en-US"/>
        </w:rPr>
      </w:pPr>
    </w:p>
    <w:p w14:paraId="23BB4E6F" w14:textId="77777777" w:rsidR="00476D9C" w:rsidRPr="00DB533C" w:rsidRDefault="00476D9C" w:rsidP="007E132D">
      <w:pPr>
        <w:rPr>
          <w:lang w:val="en-US"/>
        </w:rPr>
      </w:pPr>
    </w:p>
    <w:p w14:paraId="63BCB7F0" w14:textId="4300D06C" w:rsidR="00617FB3" w:rsidRPr="00DB533C" w:rsidRDefault="00617FB3" w:rsidP="00365A9E">
      <w:pPr>
        <w:pStyle w:val="berschrift1"/>
        <w:rPr>
          <w:lang w:val="en-US"/>
        </w:rPr>
      </w:pPr>
      <w:r w:rsidRPr="00DB533C">
        <w:rPr>
          <w:lang w:val="en-US"/>
        </w:rPr>
        <w:t>S</w:t>
      </w:r>
      <w:r w:rsidR="00960B80" w:rsidRPr="00DB533C">
        <w:rPr>
          <w:lang w:val="en-US"/>
        </w:rPr>
        <w:t>trong increase in orders received by S</w:t>
      </w:r>
      <w:r w:rsidRPr="00DB533C">
        <w:rPr>
          <w:lang w:val="en-US"/>
        </w:rPr>
        <w:t xml:space="preserve">chuler </w:t>
      </w:r>
      <w:r w:rsidR="00960B80" w:rsidRPr="00DB533C">
        <w:rPr>
          <w:lang w:val="en-US"/>
        </w:rPr>
        <w:t xml:space="preserve">in </w:t>
      </w:r>
      <w:r w:rsidR="006908E0" w:rsidRPr="00DB533C">
        <w:rPr>
          <w:lang w:val="en-US"/>
        </w:rPr>
        <w:t xml:space="preserve">2016 </w:t>
      </w:r>
    </w:p>
    <w:p w14:paraId="59E95431" w14:textId="77777777" w:rsidR="00476D9C" w:rsidRPr="00DB533C" w:rsidRDefault="00C70235" w:rsidP="00365A9E">
      <w:pPr>
        <w:pStyle w:val="berschrift1"/>
        <w:rPr>
          <w:sz w:val="2"/>
          <w:lang w:val="en-US"/>
        </w:rPr>
      </w:pPr>
      <w:r w:rsidRPr="00DB533C">
        <w:rPr>
          <w:lang w:val="en-US"/>
        </w:rPr>
        <w:t xml:space="preserve"> </w:t>
      </w:r>
      <w:r w:rsidR="00F733D5" w:rsidRPr="00DB533C">
        <w:rPr>
          <w:lang w:val="en-US"/>
        </w:rPr>
        <w:t xml:space="preserve"> </w:t>
      </w:r>
    </w:p>
    <w:p w14:paraId="674FCC1E" w14:textId="3D0E08FF" w:rsidR="006C730C" w:rsidRPr="00DB533C" w:rsidRDefault="00960B80" w:rsidP="0047180C">
      <w:pPr>
        <w:pStyle w:val="berschrift2"/>
        <w:numPr>
          <w:ilvl w:val="0"/>
          <w:numId w:val="14"/>
        </w:numPr>
        <w:rPr>
          <w:lang w:val="en-US"/>
        </w:rPr>
      </w:pPr>
      <w:r w:rsidRPr="00DB533C">
        <w:rPr>
          <w:lang w:val="en-US"/>
        </w:rPr>
        <w:t xml:space="preserve">Acquisition of </w:t>
      </w:r>
      <w:proofErr w:type="spellStart"/>
      <w:r w:rsidR="00480D95" w:rsidRPr="00DB533C">
        <w:rPr>
          <w:lang w:val="en-US"/>
        </w:rPr>
        <w:t>Yadon</w:t>
      </w:r>
      <w:proofErr w:type="spellEnd"/>
      <w:r w:rsidR="00480D95" w:rsidRPr="00DB533C">
        <w:rPr>
          <w:lang w:val="en-US"/>
        </w:rPr>
        <w:t xml:space="preserve"> </w:t>
      </w:r>
      <w:r w:rsidRPr="00DB533C">
        <w:rPr>
          <w:lang w:val="en-US"/>
        </w:rPr>
        <w:t>a</w:t>
      </w:r>
      <w:r w:rsidR="00480D95" w:rsidRPr="00DB533C">
        <w:rPr>
          <w:lang w:val="en-US"/>
        </w:rPr>
        <w:t xml:space="preserve">nd AWEBA </w:t>
      </w:r>
      <w:r w:rsidRPr="00DB533C">
        <w:rPr>
          <w:lang w:val="en-US"/>
        </w:rPr>
        <w:t>strengthens Group profit</w:t>
      </w:r>
    </w:p>
    <w:p w14:paraId="7B567F73" w14:textId="78721A2F" w:rsidR="00476D9C" w:rsidRPr="00DB533C" w:rsidRDefault="00DB04FA" w:rsidP="0047180C">
      <w:pPr>
        <w:pStyle w:val="berschrift2"/>
        <w:numPr>
          <w:ilvl w:val="0"/>
          <w:numId w:val="14"/>
        </w:numPr>
        <w:rPr>
          <w:lang w:val="en-US"/>
        </w:rPr>
      </w:pPr>
      <w:r w:rsidRPr="00DB533C">
        <w:rPr>
          <w:lang w:val="en-US"/>
        </w:rPr>
        <w:t>EBITDA</w:t>
      </w:r>
      <w:r w:rsidR="00960B80" w:rsidRPr="00DB533C">
        <w:rPr>
          <w:lang w:val="en-US"/>
        </w:rPr>
        <w:t xml:space="preserve"> m</w:t>
      </w:r>
      <w:r w:rsidRPr="00DB533C">
        <w:rPr>
          <w:lang w:val="en-US"/>
        </w:rPr>
        <w:t>arg</w:t>
      </w:r>
      <w:r w:rsidR="00960B80" w:rsidRPr="00DB533C">
        <w:rPr>
          <w:lang w:val="en-US"/>
        </w:rPr>
        <w:t xml:space="preserve">in </w:t>
      </w:r>
      <w:r w:rsidR="00D650A6" w:rsidRPr="00DB533C">
        <w:rPr>
          <w:lang w:val="en-US"/>
        </w:rPr>
        <w:t xml:space="preserve">remains in double figures at </w:t>
      </w:r>
      <w:r w:rsidR="00960B80" w:rsidRPr="00DB533C">
        <w:rPr>
          <w:lang w:val="en-US"/>
        </w:rPr>
        <w:t>10.4 percent</w:t>
      </w:r>
      <w:r w:rsidR="00D650A6" w:rsidRPr="00DB533C">
        <w:rPr>
          <w:lang w:val="en-US"/>
        </w:rPr>
        <w:t xml:space="preserve"> in 2016</w:t>
      </w:r>
    </w:p>
    <w:p w14:paraId="406455D7" w14:textId="2F005D1C" w:rsidR="00692415" w:rsidRPr="00DB533C" w:rsidRDefault="00C70235" w:rsidP="00692415">
      <w:pPr>
        <w:pStyle w:val="berschrift2"/>
        <w:numPr>
          <w:ilvl w:val="0"/>
          <w:numId w:val="14"/>
        </w:numPr>
        <w:rPr>
          <w:lang w:val="en-US"/>
        </w:rPr>
      </w:pPr>
      <w:r w:rsidRPr="00DB533C">
        <w:rPr>
          <w:lang w:val="en-US"/>
        </w:rPr>
        <w:t>Digit</w:t>
      </w:r>
      <w:r w:rsidR="00960B80" w:rsidRPr="00DB533C">
        <w:rPr>
          <w:lang w:val="en-US"/>
        </w:rPr>
        <w:t>ization a</w:t>
      </w:r>
      <w:r w:rsidR="007B5B2D" w:rsidRPr="00DB533C">
        <w:rPr>
          <w:lang w:val="en-US"/>
        </w:rPr>
        <w:t xml:space="preserve">nd </w:t>
      </w:r>
      <w:r w:rsidR="00960B80" w:rsidRPr="00DB533C">
        <w:rPr>
          <w:lang w:val="en-US"/>
        </w:rPr>
        <w:t>e-m</w:t>
      </w:r>
      <w:r w:rsidR="007B5B2D" w:rsidRPr="00DB533C">
        <w:rPr>
          <w:lang w:val="en-US"/>
        </w:rPr>
        <w:t>obilit</w:t>
      </w:r>
      <w:r w:rsidR="00960B80" w:rsidRPr="00DB533C">
        <w:rPr>
          <w:lang w:val="en-US"/>
        </w:rPr>
        <w:t>y driving growth</w:t>
      </w:r>
    </w:p>
    <w:p w14:paraId="643DE4B5" w14:textId="77777777" w:rsidR="002A6D71" w:rsidRPr="00DB533C" w:rsidRDefault="002A6D71" w:rsidP="002A6D71">
      <w:pPr>
        <w:rPr>
          <w:lang w:val="en-US"/>
        </w:rPr>
      </w:pPr>
    </w:p>
    <w:p w14:paraId="357BD829" w14:textId="70435586" w:rsidR="00B066AC" w:rsidRPr="00DB533C" w:rsidRDefault="00C82B81" w:rsidP="00E50F8F">
      <w:pPr>
        <w:rPr>
          <w:lang w:val="en-US"/>
        </w:rPr>
      </w:pPr>
      <w:proofErr w:type="spellStart"/>
      <w:r w:rsidRPr="00DB533C">
        <w:rPr>
          <w:i/>
          <w:lang w:val="en-US"/>
        </w:rPr>
        <w:t>Göppingen</w:t>
      </w:r>
      <w:proofErr w:type="spellEnd"/>
      <w:r w:rsidRPr="00DB533C">
        <w:rPr>
          <w:i/>
          <w:lang w:val="en-US"/>
        </w:rPr>
        <w:t xml:space="preserve">, </w:t>
      </w:r>
      <w:r w:rsidR="00960B80" w:rsidRPr="00DB533C">
        <w:rPr>
          <w:i/>
          <w:lang w:val="en-US"/>
        </w:rPr>
        <w:t xml:space="preserve">March </w:t>
      </w:r>
      <w:r w:rsidR="00130B60" w:rsidRPr="00DB533C">
        <w:rPr>
          <w:i/>
          <w:lang w:val="en-US"/>
        </w:rPr>
        <w:t>3</w:t>
      </w:r>
      <w:r w:rsidR="00960B80" w:rsidRPr="00DB533C">
        <w:rPr>
          <w:i/>
          <w:lang w:val="en-US"/>
        </w:rPr>
        <w:t xml:space="preserve">, </w:t>
      </w:r>
      <w:r w:rsidR="005833D5" w:rsidRPr="00DB533C">
        <w:rPr>
          <w:i/>
          <w:lang w:val="en-US"/>
        </w:rPr>
        <w:t>201</w:t>
      </w:r>
      <w:r w:rsidR="00130B60" w:rsidRPr="00DB533C">
        <w:rPr>
          <w:i/>
          <w:lang w:val="en-US"/>
        </w:rPr>
        <w:t>7</w:t>
      </w:r>
      <w:r w:rsidR="005833D5" w:rsidRPr="00DB533C">
        <w:rPr>
          <w:i/>
          <w:lang w:val="en-US"/>
        </w:rPr>
        <w:t xml:space="preserve"> </w:t>
      </w:r>
      <w:r w:rsidR="000F2F77" w:rsidRPr="00DB533C">
        <w:rPr>
          <w:lang w:val="en-US"/>
        </w:rPr>
        <w:t>–</w:t>
      </w:r>
      <w:r w:rsidR="00E23EF1" w:rsidRPr="00DB533C">
        <w:rPr>
          <w:lang w:val="en-US"/>
        </w:rPr>
        <w:t xml:space="preserve"> </w:t>
      </w:r>
      <w:r w:rsidR="00960B80" w:rsidRPr="00DB533C">
        <w:rPr>
          <w:lang w:val="en-US"/>
        </w:rPr>
        <w:t xml:space="preserve">The two subsidiaries acquired by press manufacturer </w:t>
      </w:r>
      <w:r w:rsidR="00E23EF1" w:rsidRPr="00DB533C">
        <w:rPr>
          <w:lang w:val="en-US"/>
        </w:rPr>
        <w:t xml:space="preserve">Schuler </w:t>
      </w:r>
      <w:r w:rsidR="00DC5DAA" w:rsidRPr="00DB533C">
        <w:rPr>
          <w:lang w:val="en-US"/>
        </w:rPr>
        <w:t xml:space="preserve">AG </w:t>
      </w:r>
      <w:r w:rsidR="00960B80" w:rsidRPr="00DB533C">
        <w:rPr>
          <w:lang w:val="en-US"/>
        </w:rPr>
        <w:t xml:space="preserve">in </w:t>
      </w:r>
      <w:r w:rsidR="004469A3" w:rsidRPr="00DB533C">
        <w:rPr>
          <w:lang w:val="en-US"/>
        </w:rPr>
        <w:t xml:space="preserve">2016 </w:t>
      </w:r>
      <w:r w:rsidR="00960B80" w:rsidRPr="00DB533C">
        <w:rPr>
          <w:lang w:val="en-US"/>
        </w:rPr>
        <w:t xml:space="preserve">– </w:t>
      </w:r>
      <w:r w:rsidR="00FA05BB" w:rsidRPr="00DB533C">
        <w:rPr>
          <w:lang w:val="en-US"/>
        </w:rPr>
        <w:t xml:space="preserve">AWEBA </w:t>
      </w:r>
      <w:r w:rsidR="00960B80" w:rsidRPr="00DB533C">
        <w:rPr>
          <w:lang w:val="en-US"/>
        </w:rPr>
        <w:t>a</w:t>
      </w:r>
      <w:r w:rsidR="00FA05BB" w:rsidRPr="00DB533C">
        <w:rPr>
          <w:lang w:val="en-US"/>
        </w:rPr>
        <w:t xml:space="preserve">nd </w:t>
      </w:r>
      <w:proofErr w:type="spellStart"/>
      <w:r w:rsidR="00FA05BB" w:rsidRPr="00DB533C">
        <w:rPr>
          <w:lang w:val="en-US"/>
        </w:rPr>
        <w:t>Y</w:t>
      </w:r>
      <w:r w:rsidR="00072575" w:rsidRPr="00DB533C">
        <w:rPr>
          <w:lang w:val="en-US"/>
        </w:rPr>
        <w:t>adon</w:t>
      </w:r>
      <w:proofErr w:type="spellEnd"/>
      <w:r w:rsidR="00FA05BB" w:rsidRPr="00DB533C">
        <w:rPr>
          <w:lang w:val="en-US"/>
        </w:rPr>
        <w:t xml:space="preserve"> </w:t>
      </w:r>
      <w:r w:rsidR="00960B80" w:rsidRPr="00DB533C">
        <w:rPr>
          <w:lang w:val="en-US"/>
        </w:rPr>
        <w:t>– already made a positive contribution to growth and earnings in their fi</w:t>
      </w:r>
      <w:r w:rsidR="004469A3" w:rsidRPr="00DB533C">
        <w:rPr>
          <w:lang w:val="en-US"/>
        </w:rPr>
        <w:t>rst</w:t>
      </w:r>
      <w:r w:rsidR="00960B80" w:rsidRPr="00DB533C">
        <w:rPr>
          <w:lang w:val="en-US"/>
        </w:rPr>
        <w:t xml:space="preserve"> year</w:t>
      </w:r>
      <w:r w:rsidR="00390E80" w:rsidRPr="00DB533C">
        <w:rPr>
          <w:lang w:val="en-US"/>
        </w:rPr>
        <w:t xml:space="preserve">. </w:t>
      </w:r>
      <w:r w:rsidR="00960B80" w:rsidRPr="00DB533C">
        <w:rPr>
          <w:lang w:val="en-US"/>
        </w:rPr>
        <w:t xml:space="preserve">The global market leader based in </w:t>
      </w:r>
      <w:proofErr w:type="spellStart"/>
      <w:r w:rsidR="00CC5432" w:rsidRPr="00DB533C">
        <w:rPr>
          <w:lang w:val="en-US"/>
        </w:rPr>
        <w:t>Göppingen</w:t>
      </w:r>
      <w:proofErr w:type="spellEnd"/>
      <w:r w:rsidR="00960B80" w:rsidRPr="00DB533C">
        <w:rPr>
          <w:lang w:val="en-US"/>
        </w:rPr>
        <w:t xml:space="preserve">, Germany, posted strong growth above </w:t>
      </w:r>
      <w:r w:rsidR="00CC5432" w:rsidRPr="00DB533C">
        <w:rPr>
          <w:lang w:val="en-US"/>
        </w:rPr>
        <w:t>all</w:t>
      </w:r>
      <w:r w:rsidR="00960B80" w:rsidRPr="00DB533C">
        <w:rPr>
          <w:lang w:val="en-US"/>
        </w:rPr>
        <w:t xml:space="preserve"> in new orders </w:t>
      </w:r>
      <w:r w:rsidR="00CC5432" w:rsidRPr="00DB533C">
        <w:rPr>
          <w:lang w:val="en-US"/>
        </w:rPr>
        <w:t>(+17</w:t>
      </w:r>
      <w:r w:rsidR="00960B80" w:rsidRPr="00DB533C">
        <w:rPr>
          <w:lang w:val="en-US"/>
        </w:rPr>
        <w:t>.</w:t>
      </w:r>
      <w:r w:rsidR="00CC5432" w:rsidRPr="00DB533C">
        <w:rPr>
          <w:lang w:val="en-US"/>
        </w:rPr>
        <w:t xml:space="preserve">6 </w:t>
      </w:r>
      <w:r w:rsidR="00960B80" w:rsidRPr="00DB533C">
        <w:rPr>
          <w:lang w:val="en-US"/>
        </w:rPr>
        <w:t>percent</w:t>
      </w:r>
      <w:r w:rsidR="00CC5432" w:rsidRPr="00DB533C">
        <w:rPr>
          <w:lang w:val="en-US"/>
        </w:rPr>
        <w:t xml:space="preserve">) </w:t>
      </w:r>
      <w:r w:rsidR="00960B80" w:rsidRPr="00DB533C">
        <w:rPr>
          <w:lang w:val="en-US"/>
        </w:rPr>
        <w:t>a</w:t>
      </w:r>
      <w:r w:rsidR="00CC5432" w:rsidRPr="00DB533C">
        <w:rPr>
          <w:lang w:val="en-US"/>
        </w:rPr>
        <w:t xml:space="preserve">nd </w:t>
      </w:r>
      <w:r w:rsidR="00960B80" w:rsidRPr="00DB533C">
        <w:rPr>
          <w:lang w:val="en-US"/>
        </w:rPr>
        <w:t xml:space="preserve">order backlog </w:t>
      </w:r>
      <w:r w:rsidR="00CC5432" w:rsidRPr="00DB533C">
        <w:rPr>
          <w:lang w:val="en-US"/>
        </w:rPr>
        <w:t>(+13</w:t>
      </w:r>
      <w:r w:rsidR="00960B80" w:rsidRPr="00DB533C">
        <w:rPr>
          <w:lang w:val="en-US"/>
        </w:rPr>
        <w:t>.</w:t>
      </w:r>
      <w:r w:rsidR="00CC5432" w:rsidRPr="00DB533C">
        <w:rPr>
          <w:lang w:val="en-US"/>
        </w:rPr>
        <w:t xml:space="preserve">5 </w:t>
      </w:r>
      <w:r w:rsidR="00960B80" w:rsidRPr="00DB533C">
        <w:rPr>
          <w:lang w:val="en-US"/>
        </w:rPr>
        <w:t>percent</w:t>
      </w:r>
      <w:r w:rsidR="00CC5432" w:rsidRPr="00DB533C">
        <w:rPr>
          <w:lang w:val="en-US"/>
        </w:rPr>
        <w:t xml:space="preserve">). </w:t>
      </w:r>
      <w:r w:rsidR="00960B80" w:rsidRPr="00DB533C">
        <w:rPr>
          <w:lang w:val="en-US"/>
        </w:rPr>
        <w:t>Over the year as a whole, the company received orders worth € </w:t>
      </w:r>
      <w:r w:rsidR="00CC5432" w:rsidRPr="00DB533C">
        <w:rPr>
          <w:lang w:val="en-US"/>
        </w:rPr>
        <w:t>1</w:t>
      </w:r>
      <w:r w:rsidR="00960B80" w:rsidRPr="00DB533C">
        <w:rPr>
          <w:lang w:val="en-US"/>
        </w:rPr>
        <w:t>.</w:t>
      </w:r>
      <w:r w:rsidR="00CC5432" w:rsidRPr="00DB533C">
        <w:rPr>
          <w:lang w:val="en-US"/>
        </w:rPr>
        <w:t>20 (</w:t>
      </w:r>
      <w:r w:rsidR="00960B80" w:rsidRPr="00DB533C">
        <w:rPr>
          <w:lang w:val="en-US"/>
        </w:rPr>
        <w:t>prior year:</w:t>
      </w:r>
      <w:r w:rsidR="00CC5432" w:rsidRPr="00DB533C">
        <w:rPr>
          <w:lang w:val="en-US"/>
        </w:rPr>
        <w:t xml:space="preserve"> </w:t>
      </w:r>
      <w:r w:rsidR="00960B80" w:rsidRPr="00DB533C">
        <w:rPr>
          <w:lang w:val="en-US"/>
        </w:rPr>
        <w:t>€ </w:t>
      </w:r>
      <w:r w:rsidR="00CC5432" w:rsidRPr="00DB533C">
        <w:rPr>
          <w:lang w:val="en-US"/>
        </w:rPr>
        <w:t>1</w:t>
      </w:r>
      <w:r w:rsidR="00960B80" w:rsidRPr="00DB533C">
        <w:rPr>
          <w:lang w:val="en-US"/>
        </w:rPr>
        <w:t>.</w:t>
      </w:r>
      <w:r w:rsidR="00CC5432" w:rsidRPr="00DB533C">
        <w:rPr>
          <w:lang w:val="en-US"/>
        </w:rPr>
        <w:t xml:space="preserve">02) </w:t>
      </w:r>
      <w:r w:rsidR="00960B80" w:rsidRPr="00DB533C">
        <w:rPr>
          <w:lang w:val="en-US"/>
        </w:rPr>
        <w:t>billion</w:t>
      </w:r>
      <w:r w:rsidR="00CC5432" w:rsidRPr="00DB533C">
        <w:rPr>
          <w:lang w:val="en-US"/>
        </w:rPr>
        <w:t xml:space="preserve">. </w:t>
      </w:r>
      <w:r w:rsidR="00960B80" w:rsidRPr="00DB533C">
        <w:rPr>
          <w:lang w:val="en-US"/>
        </w:rPr>
        <w:t xml:space="preserve">As of December 31, </w:t>
      </w:r>
      <w:r w:rsidR="0015001C" w:rsidRPr="00DB533C">
        <w:rPr>
          <w:lang w:val="en-US"/>
        </w:rPr>
        <w:t>2016</w:t>
      </w:r>
      <w:r w:rsidR="00960B80" w:rsidRPr="00DB533C">
        <w:rPr>
          <w:lang w:val="en-US"/>
        </w:rPr>
        <w:t>, the order backlog had risen to € </w:t>
      </w:r>
      <w:r w:rsidR="00CC5432" w:rsidRPr="00DB533C">
        <w:rPr>
          <w:lang w:val="en-US"/>
        </w:rPr>
        <w:t>1</w:t>
      </w:r>
      <w:r w:rsidR="00960B80" w:rsidRPr="00DB533C">
        <w:rPr>
          <w:lang w:val="en-US"/>
        </w:rPr>
        <w:t>.</w:t>
      </w:r>
      <w:r w:rsidR="00CC5432" w:rsidRPr="00DB533C">
        <w:rPr>
          <w:lang w:val="en-US"/>
        </w:rPr>
        <w:t>01 (</w:t>
      </w:r>
      <w:r w:rsidR="00960B80" w:rsidRPr="00DB533C">
        <w:rPr>
          <w:lang w:val="en-US"/>
        </w:rPr>
        <w:t>€ </w:t>
      </w:r>
      <w:r w:rsidR="00CC5432" w:rsidRPr="00DB533C">
        <w:rPr>
          <w:lang w:val="en-US"/>
        </w:rPr>
        <w:t>0</w:t>
      </w:r>
      <w:r w:rsidR="00960B80" w:rsidRPr="00DB533C">
        <w:rPr>
          <w:lang w:val="en-US"/>
        </w:rPr>
        <w:t>.</w:t>
      </w:r>
      <w:r w:rsidR="00CC5432" w:rsidRPr="00DB533C">
        <w:rPr>
          <w:lang w:val="en-US"/>
        </w:rPr>
        <w:t xml:space="preserve">89) </w:t>
      </w:r>
      <w:r w:rsidR="00960B80" w:rsidRPr="00DB533C">
        <w:rPr>
          <w:lang w:val="en-US"/>
        </w:rPr>
        <w:t>billion</w:t>
      </w:r>
      <w:r w:rsidR="00CC5432" w:rsidRPr="00DB533C">
        <w:rPr>
          <w:lang w:val="en-US"/>
        </w:rPr>
        <w:t xml:space="preserve">. </w:t>
      </w:r>
      <w:r w:rsidR="00960B80" w:rsidRPr="00DB533C">
        <w:rPr>
          <w:lang w:val="en-US"/>
        </w:rPr>
        <w:t>After a slow start, consolidated sales were almost on a par with the previous year at over € </w:t>
      </w:r>
      <w:r w:rsidR="00390E80" w:rsidRPr="00DB533C">
        <w:rPr>
          <w:lang w:val="en-US"/>
        </w:rPr>
        <w:t>1</w:t>
      </w:r>
      <w:r w:rsidR="00960B80" w:rsidRPr="00DB533C">
        <w:rPr>
          <w:lang w:val="en-US"/>
        </w:rPr>
        <w:t>.</w:t>
      </w:r>
      <w:r w:rsidR="00390E80" w:rsidRPr="00DB533C">
        <w:rPr>
          <w:lang w:val="en-US"/>
        </w:rPr>
        <w:t>17 (</w:t>
      </w:r>
      <w:r w:rsidR="00960B80" w:rsidRPr="00DB533C">
        <w:rPr>
          <w:lang w:val="en-US"/>
        </w:rPr>
        <w:t>€ </w:t>
      </w:r>
      <w:r w:rsidR="00390E80" w:rsidRPr="00DB533C">
        <w:rPr>
          <w:lang w:val="en-US"/>
        </w:rPr>
        <w:t>1</w:t>
      </w:r>
      <w:r w:rsidR="00960B80" w:rsidRPr="00DB533C">
        <w:rPr>
          <w:lang w:val="en-US"/>
        </w:rPr>
        <w:t>.</w:t>
      </w:r>
      <w:r w:rsidR="00390E80" w:rsidRPr="00DB533C">
        <w:rPr>
          <w:lang w:val="en-US"/>
        </w:rPr>
        <w:t xml:space="preserve">20) </w:t>
      </w:r>
      <w:r w:rsidR="00960B80" w:rsidRPr="00DB533C">
        <w:rPr>
          <w:lang w:val="en-US"/>
        </w:rPr>
        <w:t>billion</w:t>
      </w:r>
      <w:r w:rsidR="00390E80" w:rsidRPr="00DB533C">
        <w:rPr>
          <w:lang w:val="en-US"/>
        </w:rPr>
        <w:t xml:space="preserve">. </w:t>
      </w:r>
      <w:r w:rsidR="00960B80" w:rsidRPr="00DB533C">
        <w:rPr>
          <w:lang w:val="en-US"/>
        </w:rPr>
        <w:t xml:space="preserve">The operating result </w:t>
      </w:r>
      <w:r w:rsidR="008165FD" w:rsidRPr="00DB533C">
        <w:rPr>
          <w:lang w:val="en-US"/>
        </w:rPr>
        <w:t xml:space="preserve">(EBITDA) </w:t>
      </w:r>
      <w:r w:rsidR="00960B80" w:rsidRPr="00DB533C">
        <w:rPr>
          <w:lang w:val="en-US"/>
        </w:rPr>
        <w:t>of € </w:t>
      </w:r>
      <w:r w:rsidR="008165FD" w:rsidRPr="00DB533C">
        <w:rPr>
          <w:lang w:val="en-US"/>
        </w:rPr>
        <w:t>122</w:t>
      </w:r>
      <w:r w:rsidR="00960B80" w:rsidRPr="00DB533C">
        <w:rPr>
          <w:lang w:val="en-US"/>
        </w:rPr>
        <w:t>.</w:t>
      </w:r>
      <w:r w:rsidR="00377903" w:rsidRPr="00DB533C">
        <w:rPr>
          <w:lang w:val="en-US"/>
        </w:rPr>
        <w:t>6</w:t>
      </w:r>
      <w:r w:rsidR="008165FD" w:rsidRPr="00DB533C">
        <w:rPr>
          <w:lang w:val="en-US"/>
        </w:rPr>
        <w:t xml:space="preserve"> </w:t>
      </w:r>
      <w:r w:rsidR="00960B80" w:rsidRPr="00DB533C">
        <w:rPr>
          <w:lang w:val="en-US"/>
        </w:rPr>
        <w:t>million</w:t>
      </w:r>
      <w:r w:rsidR="000B30FE" w:rsidRPr="00DB533C">
        <w:rPr>
          <w:lang w:val="en-US"/>
        </w:rPr>
        <w:t xml:space="preserve"> </w:t>
      </w:r>
      <w:r w:rsidR="00960B80" w:rsidRPr="00DB533C">
        <w:rPr>
          <w:lang w:val="en-US"/>
        </w:rPr>
        <w:t xml:space="preserve">was well above the </w:t>
      </w:r>
      <w:r w:rsidR="000B30FE" w:rsidRPr="00DB533C">
        <w:rPr>
          <w:lang w:val="en-US"/>
        </w:rPr>
        <w:t>un</w:t>
      </w:r>
      <w:r w:rsidR="00960B80" w:rsidRPr="00DB533C">
        <w:rPr>
          <w:lang w:val="en-US"/>
        </w:rPr>
        <w:t>adjusted prior-year figure of € </w:t>
      </w:r>
      <w:r w:rsidR="000B30FE" w:rsidRPr="00DB533C">
        <w:rPr>
          <w:lang w:val="en-US"/>
        </w:rPr>
        <w:t>70</w:t>
      </w:r>
      <w:r w:rsidR="00960B80" w:rsidRPr="00DB533C">
        <w:rPr>
          <w:lang w:val="en-US"/>
        </w:rPr>
        <w:t>.</w:t>
      </w:r>
      <w:r w:rsidR="000B30FE" w:rsidRPr="00DB533C">
        <w:rPr>
          <w:lang w:val="en-US"/>
        </w:rPr>
        <w:t xml:space="preserve">9 </w:t>
      </w:r>
      <w:r w:rsidR="00960B80" w:rsidRPr="00DB533C">
        <w:rPr>
          <w:lang w:val="en-US"/>
        </w:rPr>
        <w:t>million</w:t>
      </w:r>
      <w:r w:rsidR="000B30FE" w:rsidRPr="00DB533C">
        <w:rPr>
          <w:lang w:val="en-US"/>
        </w:rPr>
        <w:t>.</w:t>
      </w:r>
    </w:p>
    <w:p w14:paraId="6B205FA7" w14:textId="77777777" w:rsidR="00B066AC" w:rsidRPr="00DB533C" w:rsidRDefault="00B066AC" w:rsidP="00E50F8F">
      <w:pPr>
        <w:rPr>
          <w:lang w:val="en-US"/>
        </w:rPr>
      </w:pPr>
    </w:p>
    <w:p w14:paraId="540283CD" w14:textId="6DB7E550" w:rsidR="000B30FE" w:rsidRPr="00DB533C" w:rsidRDefault="00960B80" w:rsidP="00E50F8F">
      <w:pPr>
        <w:rPr>
          <w:lang w:val="en-US"/>
        </w:rPr>
      </w:pPr>
      <w:r w:rsidRPr="00DB533C">
        <w:rPr>
          <w:lang w:val="en-US"/>
        </w:rPr>
        <w:t xml:space="preserve">Adjusted for special items </w:t>
      </w:r>
      <w:r w:rsidR="00EA1C19">
        <w:rPr>
          <w:lang w:val="en-US"/>
        </w:rPr>
        <w:t xml:space="preserve">of around € 73 million </w:t>
      </w:r>
      <w:r w:rsidRPr="00DB533C">
        <w:rPr>
          <w:lang w:val="en-US"/>
        </w:rPr>
        <w:t>for the re</w:t>
      </w:r>
      <w:r w:rsidR="000B30FE" w:rsidRPr="00DB533C">
        <w:rPr>
          <w:lang w:val="en-US"/>
        </w:rPr>
        <w:t>stru</w:t>
      </w:r>
      <w:r w:rsidRPr="00DB533C">
        <w:rPr>
          <w:lang w:val="en-US"/>
        </w:rPr>
        <w:t>c</w:t>
      </w:r>
      <w:r w:rsidR="000B30FE" w:rsidRPr="00DB533C">
        <w:rPr>
          <w:lang w:val="en-US"/>
        </w:rPr>
        <w:t xml:space="preserve">turing </w:t>
      </w:r>
      <w:r w:rsidRPr="00DB533C">
        <w:rPr>
          <w:lang w:val="en-US"/>
        </w:rPr>
        <w:t>of produc</w:t>
      </w:r>
      <w:r w:rsidR="000B30FE" w:rsidRPr="00DB533C">
        <w:rPr>
          <w:lang w:val="en-US"/>
        </w:rPr>
        <w:t>tion</w:t>
      </w:r>
      <w:r w:rsidR="000262E3" w:rsidRPr="00DB533C">
        <w:rPr>
          <w:lang w:val="en-US"/>
        </w:rPr>
        <w:t xml:space="preserve"> in </w:t>
      </w:r>
      <w:r w:rsidRPr="00DB533C">
        <w:rPr>
          <w:lang w:val="en-US"/>
        </w:rPr>
        <w:t>Germany</w:t>
      </w:r>
      <w:r w:rsidR="00DA1C30" w:rsidRPr="00DB533C">
        <w:rPr>
          <w:lang w:val="en-US"/>
        </w:rPr>
        <w:t>,</w:t>
      </w:r>
      <w:r w:rsidR="000B30FE" w:rsidRPr="00DB533C">
        <w:rPr>
          <w:lang w:val="en-US"/>
        </w:rPr>
        <w:t xml:space="preserve"> Schuler</w:t>
      </w:r>
      <w:r w:rsidR="0015001C" w:rsidRPr="00DB533C">
        <w:rPr>
          <w:lang w:val="en-US"/>
        </w:rPr>
        <w:t xml:space="preserve"> </w:t>
      </w:r>
      <w:r w:rsidRPr="00DB533C">
        <w:rPr>
          <w:lang w:val="en-US"/>
        </w:rPr>
        <w:t xml:space="preserve">had posted a record </w:t>
      </w:r>
      <w:r w:rsidR="000B30FE" w:rsidRPr="00DB533C">
        <w:rPr>
          <w:lang w:val="en-US"/>
        </w:rPr>
        <w:t xml:space="preserve">EBITDA </w:t>
      </w:r>
      <w:r w:rsidRPr="00DB533C">
        <w:rPr>
          <w:lang w:val="en-US"/>
        </w:rPr>
        <w:t>result of € </w:t>
      </w:r>
      <w:r w:rsidR="000B30FE" w:rsidRPr="00DB533C">
        <w:rPr>
          <w:lang w:val="en-US"/>
        </w:rPr>
        <w:t>138</w:t>
      </w:r>
      <w:r w:rsidRPr="00DB533C">
        <w:rPr>
          <w:lang w:val="en-US"/>
        </w:rPr>
        <w:t>.</w:t>
      </w:r>
      <w:r w:rsidR="000B30FE" w:rsidRPr="00DB533C">
        <w:rPr>
          <w:lang w:val="en-US"/>
        </w:rPr>
        <w:t xml:space="preserve">8 </w:t>
      </w:r>
      <w:r w:rsidRPr="00DB533C">
        <w:rPr>
          <w:lang w:val="en-US"/>
        </w:rPr>
        <w:t>million</w:t>
      </w:r>
      <w:r w:rsidR="000B30FE" w:rsidRPr="00DB533C">
        <w:rPr>
          <w:lang w:val="en-US"/>
        </w:rPr>
        <w:t xml:space="preserve"> </w:t>
      </w:r>
      <w:r w:rsidRPr="00DB533C">
        <w:rPr>
          <w:lang w:val="en-US"/>
        </w:rPr>
        <w:t>in 2015</w:t>
      </w:r>
      <w:r w:rsidR="000B30FE" w:rsidRPr="00DB533C">
        <w:rPr>
          <w:lang w:val="en-US"/>
        </w:rPr>
        <w:t xml:space="preserve">. </w:t>
      </w:r>
      <w:r w:rsidR="00EA1C19">
        <w:rPr>
          <w:lang w:val="en-US"/>
        </w:rPr>
        <w:t xml:space="preserve">Earnings in 2016 </w:t>
      </w:r>
      <w:r w:rsidR="003C6F06">
        <w:rPr>
          <w:lang w:val="en-US"/>
        </w:rPr>
        <w:t>were bolstered by</w:t>
      </w:r>
      <w:r w:rsidR="00EA1C19">
        <w:rPr>
          <w:lang w:val="en-US"/>
        </w:rPr>
        <w:t xml:space="preserve"> special income of € 13 million from </w:t>
      </w:r>
      <w:r w:rsidR="003C6F06">
        <w:rPr>
          <w:lang w:val="en-US"/>
        </w:rPr>
        <w:t>winding up</w:t>
      </w:r>
      <w:r w:rsidR="00EA1C19">
        <w:rPr>
          <w:lang w:val="en-US"/>
        </w:rPr>
        <w:t xml:space="preserve"> the restructuring concept. Including this income, t</w:t>
      </w:r>
      <w:r w:rsidRPr="00DB533C">
        <w:rPr>
          <w:lang w:val="en-US"/>
        </w:rPr>
        <w:t>he</w:t>
      </w:r>
      <w:r w:rsidR="0015001C" w:rsidRPr="00DB533C">
        <w:rPr>
          <w:lang w:val="en-US"/>
        </w:rPr>
        <w:t xml:space="preserve"> </w:t>
      </w:r>
      <w:r w:rsidR="000B30FE" w:rsidRPr="00DB533C">
        <w:rPr>
          <w:lang w:val="en-US"/>
        </w:rPr>
        <w:t>EBITDA</w:t>
      </w:r>
      <w:r w:rsidRPr="00DB533C">
        <w:rPr>
          <w:lang w:val="en-US"/>
        </w:rPr>
        <w:t xml:space="preserve"> m</w:t>
      </w:r>
      <w:r w:rsidR="000B30FE" w:rsidRPr="00DB533C">
        <w:rPr>
          <w:lang w:val="en-US"/>
        </w:rPr>
        <w:t>arg</w:t>
      </w:r>
      <w:r w:rsidRPr="00DB533C">
        <w:rPr>
          <w:lang w:val="en-US"/>
        </w:rPr>
        <w:t xml:space="preserve">in – a measure of the company’s profitability – once again reached double figures in </w:t>
      </w:r>
      <w:r w:rsidR="000B30FE" w:rsidRPr="00DB533C">
        <w:rPr>
          <w:lang w:val="en-US"/>
        </w:rPr>
        <w:t xml:space="preserve">2016 </w:t>
      </w:r>
      <w:r w:rsidRPr="00DB533C">
        <w:rPr>
          <w:lang w:val="en-US"/>
        </w:rPr>
        <w:t xml:space="preserve">at </w:t>
      </w:r>
      <w:r w:rsidR="000B30FE" w:rsidRPr="00DB533C">
        <w:rPr>
          <w:lang w:val="en-US"/>
        </w:rPr>
        <w:t>10</w:t>
      </w:r>
      <w:r w:rsidRPr="00DB533C">
        <w:rPr>
          <w:lang w:val="en-US"/>
        </w:rPr>
        <w:t>.</w:t>
      </w:r>
      <w:r w:rsidR="000B30FE" w:rsidRPr="00DB533C">
        <w:rPr>
          <w:lang w:val="en-US"/>
        </w:rPr>
        <w:t>4 (</w:t>
      </w:r>
      <w:r w:rsidR="00EA1C19">
        <w:rPr>
          <w:lang w:val="en-US"/>
        </w:rPr>
        <w:t xml:space="preserve">prior-year </w:t>
      </w:r>
      <w:r w:rsidRPr="00DB533C">
        <w:rPr>
          <w:lang w:val="en-US"/>
        </w:rPr>
        <w:t>adjusted</w:t>
      </w:r>
      <w:r w:rsidR="00EA1C19">
        <w:rPr>
          <w:lang w:val="en-US"/>
        </w:rPr>
        <w:t>:</w:t>
      </w:r>
      <w:r w:rsidRPr="00DB533C">
        <w:rPr>
          <w:lang w:val="en-US"/>
        </w:rPr>
        <w:t xml:space="preserve"> </w:t>
      </w:r>
      <w:r w:rsidR="000B30FE" w:rsidRPr="00DB533C">
        <w:rPr>
          <w:lang w:val="en-US"/>
        </w:rPr>
        <w:lastRenderedPageBreak/>
        <w:t>11</w:t>
      </w:r>
      <w:r w:rsidRPr="00DB533C">
        <w:rPr>
          <w:lang w:val="en-US"/>
        </w:rPr>
        <w:t>.</w:t>
      </w:r>
      <w:r w:rsidR="000B30FE" w:rsidRPr="00DB533C">
        <w:rPr>
          <w:lang w:val="en-US"/>
        </w:rPr>
        <w:t xml:space="preserve">6) </w:t>
      </w:r>
      <w:r w:rsidRPr="00DB533C">
        <w:rPr>
          <w:lang w:val="en-US"/>
        </w:rPr>
        <w:t>percent,</w:t>
      </w:r>
      <w:r w:rsidR="000B30FE" w:rsidRPr="00DB533C">
        <w:rPr>
          <w:lang w:val="en-US"/>
        </w:rPr>
        <w:t xml:space="preserve"> </w:t>
      </w:r>
      <w:r w:rsidRPr="00DB533C">
        <w:rPr>
          <w:lang w:val="en-US"/>
        </w:rPr>
        <w:t>a</w:t>
      </w:r>
      <w:r w:rsidR="000B30FE" w:rsidRPr="00DB533C">
        <w:rPr>
          <w:lang w:val="en-US"/>
        </w:rPr>
        <w:t xml:space="preserve">nd </w:t>
      </w:r>
      <w:r w:rsidRPr="00DB533C">
        <w:rPr>
          <w:lang w:val="en-US"/>
        </w:rPr>
        <w:t xml:space="preserve">was thus </w:t>
      </w:r>
      <w:r w:rsidR="00EA1C19">
        <w:rPr>
          <w:lang w:val="en-US"/>
        </w:rPr>
        <w:t xml:space="preserve">amongst the highest in </w:t>
      </w:r>
      <w:r w:rsidRPr="00DB533C">
        <w:rPr>
          <w:lang w:val="en-US"/>
        </w:rPr>
        <w:t xml:space="preserve">the </w:t>
      </w:r>
      <w:r w:rsidR="00EA1C19">
        <w:rPr>
          <w:lang w:val="en-US"/>
        </w:rPr>
        <w:t xml:space="preserve">German </w:t>
      </w:r>
      <w:r w:rsidR="003C6F06">
        <w:rPr>
          <w:lang w:val="en-US"/>
        </w:rPr>
        <w:t>engineering</w:t>
      </w:r>
      <w:r w:rsidR="00EA1C19">
        <w:rPr>
          <w:lang w:val="en-US"/>
        </w:rPr>
        <w:t xml:space="preserve"> </w:t>
      </w:r>
      <w:r w:rsidRPr="00DB533C">
        <w:rPr>
          <w:lang w:val="en-US"/>
        </w:rPr>
        <w:t>industry</w:t>
      </w:r>
      <w:r w:rsidR="000B30FE" w:rsidRPr="00DB533C">
        <w:rPr>
          <w:lang w:val="en-US"/>
        </w:rPr>
        <w:t>.</w:t>
      </w:r>
    </w:p>
    <w:p w14:paraId="7F872C4E" w14:textId="77777777" w:rsidR="000B30FE" w:rsidRPr="00DB533C" w:rsidRDefault="000B30FE" w:rsidP="00E50F8F">
      <w:pPr>
        <w:rPr>
          <w:lang w:val="en-US"/>
        </w:rPr>
      </w:pPr>
    </w:p>
    <w:p w14:paraId="7FBBAE8F" w14:textId="7EC208FD" w:rsidR="00104F2C" w:rsidRPr="00DB533C" w:rsidRDefault="00C646D7" w:rsidP="00E50F8F">
      <w:pPr>
        <w:rPr>
          <w:lang w:val="en-US"/>
        </w:rPr>
      </w:pPr>
      <w:r w:rsidRPr="00DB533C">
        <w:rPr>
          <w:lang w:val="en-US"/>
        </w:rPr>
        <w:t>Schuler’s pre-tax earnings of € </w:t>
      </w:r>
      <w:r w:rsidR="009C147A" w:rsidRPr="00DB533C">
        <w:rPr>
          <w:lang w:val="en-US"/>
        </w:rPr>
        <w:t>95</w:t>
      </w:r>
      <w:r w:rsidR="00960B80" w:rsidRPr="00DB533C">
        <w:rPr>
          <w:lang w:val="en-US"/>
        </w:rPr>
        <w:t>.</w:t>
      </w:r>
      <w:r w:rsidR="009C147A" w:rsidRPr="00DB533C">
        <w:rPr>
          <w:lang w:val="en-US"/>
        </w:rPr>
        <w:t xml:space="preserve">1 </w:t>
      </w:r>
      <w:r w:rsidR="00960B80" w:rsidRPr="00DB533C">
        <w:rPr>
          <w:lang w:val="en-US"/>
        </w:rPr>
        <w:t>million</w:t>
      </w:r>
      <w:r w:rsidR="009C147A" w:rsidRPr="00DB533C">
        <w:rPr>
          <w:lang w:val="en-US"/>
        </w:rPr>
        <w:t xml:space="preserve"> </w:t>
      </w:r>
      <w:r w:rsidRPr="00DB533C">
        <w:rPr>
          <w:lang w:val="en-US"/>
        </w:rPr>
        <w:t xml:space="preserve">in 2016 were well above the </w:t>
      </w:r>
      <w:r w:rsidR="009C147A" w:rsidRPr="00DB533C">
        <w:rPr>
          <w:lang w:val="en-US"/>
        </w:rPr>
        <w:t>un</w:t>
      </w:r>
      <w:r w:rsidRPr="00DB533C">
        <w:rPr>
          <w:lang w:val="en-US"/>
        </w:rPr>
        <w:t>adjusted prior-year figure of € </w:t>
      </w:r>
      <w:r w:rsidR="009C147A" w:rsidRPr="00DB533C">
        <w:rPr>
          <w:lang w:val="en-US"/>
        </w:rPr>
        <w:t>44</w:t>
      </w:r>
      <w:r w:rsidR="00960B80" w:rsidRPr="00DB533C">
        <w:rPr>
          <w:lang w:val="en-US"/>
        </w:rPr>
        <w:t>.</w:t>
      </w:r>
      <w:r w:rsidR="009C147A" w:rsidRPr="00DB533C">
        <w:rPr>
          <w:lang w:val="en-US"/>
        </w:rPr>
        <w:t xml:space="preserve">0 </w:t>
      </w:r>
      <w:r w:rsidR="00960B80" w:rsidRPr="00DB533C">
        <w:rPr>
          <w:lang w:val="en-US"/>
        </w:rPr>
        <w:t>million</w:t>
      </w:r>
      <w:r w:rsidR="009C147A" w:rsidRPr="00DB533C">
        <w:rPr>
          <w:lang w:val="en-US"/>
        </w:rPr>
        <w:t xml:space="preserve">. </w:t>
      </w:r>
      <w:r w:rsidRPr="00DB533C">
        <w:rPr>
          <w:lang w:val="en-US"/>
        </w:rPr>
        <w:t>Adjusted for r</w:t>
      </w:r>
      <w:r w:rsidR="009C147A" w:rsidRPr="00DB533C">
        <w:rPr>
          <w:lang w:val="en-US"/>
        </w:rPr>
        <w:t>estru</w:t>
      </w:r>
      <w:r w:rsidRPr="00DB533C">
        <w:rPr>
          <w:lang w:val="en-US"/>
        </w:rPr>
        <w:t>c</w:t>
      </w:r>
      <w:r w:rsidR="009C147A" w:rsidRPr="00DB533C">
        <w:rPr>
          <w:lang w:val="en-US"/>
        </w:rPr>
        <w:t>turing</w:t>
      </w:r>
      <w:r w:rsidRPr="00DB533C">
        <w:rPr>
          <w:lang w:val="en-US"/>
        </w:rPr>
        <w:t xml:space="preserve"> </w:t>
      </w:r>
      <w:r w:rsidR="009C147A" w:rsidRPr="00DB533C">
        <w:rPr>
          <w:lang w:val="en-US"/>
        </w:rPr>
        <w:t>effe</w:t>
      </w:r>
      <w:r w:rsidRPr="00DB533C">
        <w:rPr>
          <w:lang w:val="en-US"/>
        </w:rPr>
        <w:t>cts, the figure in 2015 was € </w:t>
      </w:r>
      <w:r w:rsidR="009C147A" w:rsidRPr="00DB533C">
        <w:rPr>
          <w:lang w:val="en-US"/>
        </w:rPr>
        <w:t>116</w:t>
      </w:r>
      <w:r w:rsidR="00960B80" w:rsidRPr="00DB533C">
        <w:rPr>
          <w:lang w:val="en-US"/>
        </w:rPr>
        <w:t>.</w:t>
      </w:r>
      <w:r w:rsidR="009C147A" w:rsidRPr="00DB533C">
        <w:rPr>
          <w:lang w:val="en-US"/>
        </w:rPr>
        <w:t xml:space="preserve">6 </w:t>
      </w:r>
      <w:r w:rsidR="00960B80" w:rsidRPr="00DB533C">
        <w:rPr>
          <w:lang w:val="en-US"/>
        </w:rPr>
        <w:t>million</w:t>
      </w:r>
      <w:r w:rsidR="009C147A" w:rsidRPr="00DB533C">
        <w:rPr>
          <w:lang w:val="en-US"/>
        </w:rPr>
        <w:t xml:space="preserve">. </w:t>
      </w:r>
      <w:r w:rsidRPr="00DB533C">
        <w:rPr>
          <w:lang w:val="en-US"/>
        </w:rPr>
        <w:t xml:space="preserve">The </w:t>
      </w:r>
      <w:r w:rsidR="00DB2BB2" w:rsidRPr="00DB533C">
        <w:rPr>
          <w:lang w:val="en-US"/>
        </w:rPr>
        <w:t>ne</w:t>
      </w:r>
      <w:r w:rsidRPr="00DB533C">
        <w:rPr>
          <w:lang w:val="en-US"/>
        </w:rPr>
        <w:t>w members of the Group</w:t>
      </w:r>
      <w:r w:rsidR="00DB2BB2" w:rsidRPr="00DB533C">
        <w:rPr>
          <w:lang w:val="en-US"/>
        </w:rPr>
        <w:t xml:space="preserve">, </w:t>
      </w:r>
      <w:r w:rsidRPr="00DB533C">
        <w:rPr>
          <w:lang w:val="en-US"/>
        </w:rPr>
        <w:t>the C</w:t>
      </w:r>
      <w:r w:rsidR="00DB2BB2" w:rsidRPr="00DB533C">
        <w:rPr>
          <w:lang w:val="en-US"/>
        </w:rPr>
        <w:t>hines</w:t>
      </w:r>
      <w:r w:rsidRPr="00DB533C">
        <w:rPr>
          <w:lang w:val="en-US"/>
        </w:rPr>
        <w:t>e p</w:t>
      </w:r>
      <w:r w:rsidR="00DB2BB2" w:rsidRPr="00DB533C">
        <w:rPr>
          <w:lang w:val="en-US"/>
        </w:rPr>
        <w:t>ress</w:t>
      </w:r>
      <w:r w:rsidRPr="00DB533C">
        <w:rPr>
          <w:lang w:val="en-US"/>
        </w:rPr>
        <w:t xml:space="preserve"> manufacturer </w:t>
      </w:r>
      <w:proofErr w:type="spellStart"/>
      <w:r w:rsidR="00DB2BB2" w:rsidRPr="00DB533C">
        <w:rPr>
          <w:lang w:val="en-US"/>
        </w:rPr>
        <w:t>Yadon</w:t>
      </w:r>
      <w:proofErr w:type="spellEnd"/>
      <w:r w:rsidR="00DB2BB2" w:rsidRPr="00DB533C">
        <w:rPr>
          <w:lang w:val="en-US"/>
        </w:rPr>
        <w:t xml:space="preserve"> (</w:t>
      </w:r>
      <w:r w:rsidRPr="00DB533C">
        <w:rPr>
          <w:lang w:val="en-US"/>
        </w:rPr>
        <w:t xml:space="preserve">as of April </w:t>
      </w:r>
      <w:r w:rsidR="00DB2BB2" w:rsidRPr="00DB533C">
        <w:rPr>
          <w:lang w:val="en-US"/>
        </w:rPr>
        <w:t xml:space="preserve">1) </w:t>
      </w:r>
      <w:r w:rsidRPr="00DB533C">
        <w:rPr>
          <w:lang w:val="en-US"/>
        </w:rPr>
        <w:t>a</w:t>
      </w:r>
      <w:r w:rsidR="00DB2BB2" w:rsidRPr="00DB533C">
        <w:rPr>
          <w:lang w:val="en-US"/>
        </w:rPr>
        <w:t xml:space="preserve">nd </w:t>
      </w:r>
      <w:r w:rsidRPr="00DB533C">
        <w:rPr>
          <w:lang w:val="en-US"/>
        </w:rPr>
        <w:t xml:space="preserve">the German toolmaker </w:t>
      </w:r>
      <w:r w:rsidR="00DB2BB2" w:rsidRPr="00DB533C">
        <w:rPr>
          <w:lang w:val="en-US"/>
        </w:rPr>
        <w:t>AWEBA (</w:t>
      </w:r>
      <w:r w:rsidRPr="00DB533C">
        <w:rPr>
          <w:lang w:val="en-US"/>
        </w:rPr>
        <w:t xml:space="preserve">as of June </w:t>
      </w:r>
      <w:r w:rsidR="00DB2BB2" w:rsidRPr="00DB533C">
        <w:rPr>
          <w:lang w:val="en-US"/>
        </w:rPr>
        <w:t xml:space="preserve">30), </w:t>
      </w:r>
      <w:r w:rsidRPr="00DB533C">
        <w:rPr>
          <w:lang w:val="en-US"/>
        </w:rPr>
        <w:t xml:space="preserve">made a total prorated contribution to consolidated sales of almost € 120 million and to </w:t>
      </w:r>
      <w:r w:rsidR="00DB2BB2" w:rsidRPr="00DB533C">
        <w:rPr>
          <w:lang w:val="en-US"/>
        </w:rPr>
        <w:t xml:space="preserve">EBITDA </w:t>
      </w:r>
      <w:r w:rsidRPr="00DB533C">
        <w:rPr>
          <w:lang w:val="en-US"/>
        </w:rPr>
        <w:t>of almost € 17 million in 2016.</w:t>
      </w:r>
    </w:p>
    <w:p w14:paraId="5E249876" w14:textId="77777777" w:rsidR="00104F2C" w:rsidRPr="00DB533C" w:rsidRDefault="00104F2C" w:rsidP="00E50F8F">
      <w:pPr>
        <w:rPr>
          <w:lang w:val="en-US"/>
        </w:rPr>
      </w:pPr>
    </w:p>
    <w:p w14:paraId="3CF9D217" w14:textId="7C12ADDD" w:rsidR="00D43E4E" w:rsidRPr="00DB533C" w:rsidRDefault="00C646D7" w:rsidP="00E50F8F">
      <w:pPr>
        <w:rPr>
          <w:b/>
          <w:lang w:val="en-US"/>
        </w:rPr>
      </w:pPr>
      <w:r w:rsidRPr="00DB533C">
        <w:rPr>
          <w:b/>
          <w:lang w:val="en-US"/>
        </w:rPr>
        <w:t xml:space="preserve">Noticeable increase in sales and earnings expected for </w:t>
      </w:r>
      <w:r w:rsidR="00D43E4E" w:rsidRPr="00DB533C">
        <w:rPr>
          <w:b/>
          <w:lang w:val="en-US"/>
        </w:rPr>
        <w:t>2017</w:t>
      </w:r>
      <w:r w:rsidR="00072575" w:rsidRPr="00DB533C">
        <w:rPr>
          <w:b/>
          <w:lang w:val="en-US"/>
        </w:rPr>
        <w:t xml:space="preserve"> </w:t>
      </w:r>
    </w:p>
    <w:p w14:paraId="56FD936C" w14:textId="4C6369DF" w:rsidR="004D48E7" w:rsidRPr="00DB533C" w:rsidRDefault="00C646D7" w:rsidP="00C646D7">
      <w:pPr>
        <w:rPr>
          <w:lang w:val="en-US"/>
        </w:rPr>
      </w:pPr>
      <w:r w:rsidRPr="00DB533C">
        <w:rPr>
          <w:lang w:val="en-US"/>
        </w:rPr>
        <w:t>A</w:t>
      </w:r>
      <w:r w:rsidR="00D650A6" w:rsidRPr="00DB533C">
        <w:rPr>
          <w:lang w:val="en-US"/>
        </w:rPr>
        <w:t>t</w:t>
      </w:r>
      <w:r w:rsidRPr="00DB533C">
        <w:rPr>
          <w:lang w:val="en-US"/>
        </w:rPr>
        <w:t xml:space="preserve"> the presentation of the company’s annual accounts in </w:t>
      </w:r>
      <w:proofErr w:type="spellStart"/>
      <w:r w:rsidRPr="00DB533C">
        <w:rPr>
          <w:lang w:val="en-US"/>
        </w:rPr>
        <w:t>Göppingen</w:t>
      </w:r>
      <w:proofErr w:type="spellEnd"/>
      <w:r w:rsidRPr="00DB533C">
        <w:rPr>
          <w:lang w:val="en-US"/>
        </w:rPr>
        <w:t xml:space="preserve">, Germany, CEO Stefan </w:t>
      </w:r>
      <w:proofErr w:type="spellStart"/>
      <w:r w:rsidRPr="00DB533C">
        <w:rPr>
          <w:lang w:val="en-US"/>
        </w:rPr>
        <w:t>Klebert</w:t>
      </w:r>
      <w:proofErr w:type="spellEnd"/>
      <w:r w:rsidRPr="00DB533C">
        <w:rPr>
          <w:lang w:val="en-US"/>
        </w:rPr>
        <w:t xml:space="preserve"> stated that: “</w:t>
      </w:r>
      <w:r w:rsidR="00356F4D" w:rsidRPr="00DB533C">
        <w:rPr>
          <w:lang w:val="en-US"/>
        </w:rPr>
        <w:t>W</w:t>
      </w:r>
      <w:r w:rsidRPr="00DB533C">
        <w:rPr>
          <w:lang w:val="en-US"/>
        </w:rPr>
        <w:t xml:space="preserve">e are entering the new fiscal year with a strong tailwind from the higher level of new orders. The propensity of our customers to invest in new capital equipment has </w:t>
      </w:r>
      <w:proofErr w:type="gramStart"/>
      <w:r w:rsidRPr="00DB533C">
        <w:rPr>
          <w:lang w:val="en-US"/>
        </w:rPr>
        <w:t>increased,</w:t>
      </w:r>
      <w:proofErr w:type="gramEnd"/>
      <w:r w:rsidRPr="00DB533C">
        <w:rPr>
          <w:lang w:val="en-US"/>
        </w:rPr>
        <w:t xml:space="preserve"> the dip in sales and new orders from early 2016 is now behind us.</w:t>
      </w:r>
      <w:r w:rsidR="006A04A0" w:rsidRPr="00DB533C">
        <w:rPr>
          <w:lang w:val="en-US"/>
        </w:rPr>
        <w:t xml:space="preserve"> </w:t>
      </w:r>
      <w:r w:rsidRPr="00DB533C">
        <w:rPr>
          <w:lang w:val="en-US"/>
        </w:rPr>
        <w:t xml:space="preserve">The past year also underlined that our decision to acquire the German toolmaker AWEBA and the Chinese press manufacturer </w:t>
      </w:r>
      <w:proofErr w:type="spellStart"/>
      <w:r w:rsidRPr="00DB533C">
        <w:rPr>
          <w:lang w:val="en-US"/>
        </w:rPr>
        <w:t>Yadon</w:t>
      </w:r>
      <w:proofErr w:type="spellEnd"/>
      <w:r w:rsidRPr="00DB533C">
        <w:rPr>
          <w:lang w:val="en-US"/>
        </w:rPr>
        <w:t xml:space="preserve"> was strategically correct. </w:t>
      </w:r>
      <w:r w:rsidR="00770316" w:rsidRPr="00DB533C">
        <w:rPr>
          <w:lang w:val="en-US"/>
        </w:rPr>
        <w:t>B</w:t>
      </w:r>
      <w:r w:rsidRPr="00DB533C">
        <w:rPr>
          <w:lang w:val="en-US"/>
        </w:rPr>
        <w:t xml:space="preserve">oth companies open up new markets for </w:t>
      </w:r>
      <w:r w:rsidR="00770316" w:rsidRPr="00DB533C">
        <w:rPr>
          <w:lang w:val="en-US"/>
        </w:rPr>
        <w:t>Schuler</w:t>
      </w:r>
      <w:r w:rsidR="001852B3" w:rsidRPr="00DB533C">
        <w:rPr>
          <w:lang w:val="en-US"/>
        </w:rPr>
        <w:t xml:space="preserve"> </w:t>
      </w:r>
      <w:r w:rsidRPr="00DB533C">
        <w:rPr>
          <w:lang w:val="en-US"/>
        </w:rPr>
        <w:t>a</w:t>
      </w:r>
      <w:r w:rsidR="00770316" w:rsidRPr="00DB533C">
        <w:rPr>
          <w:lang w:val="en-US"/>
        </w:rPr>
        <w:t xml:space="preserve">nd </w:t>
      </w:r>
      <w:r w:rsidRPr="00DB533C">
        <w:rPr>
          <w:lang w:val="en-US"/>
        </w:rPr>
        <w:t>are making above-average progress</w:t>
      </w:r>
      <w:r w:rsidR="00770316" w:rsidRPr="00DB533C">
        <w:rPr>
          <w:lang w:val="en-US"/>
        </w:rPr>
        <w:t>.</w:t>
      </w:r>
      <w:r w:rsidRPr="00DB533C">
        <w:rPr>
          <w:lang w:val="en-US"/>
        </w:rPr>
        <w:t>”</w:t>
      </w:r>
    </w:p>
    <w:p w14:paraId="590D729F" w14:textId="77777777" w:rsidR="004D48E7" w:rsidRPr="00DB533C" w:rsidRDefault="004D48E7" w:rsidP="00E50F8F">
      <w:pPr>
        <w:rPr>
          <w:lang w:val="en-US"/>
        </w:rPr>
      </w:pPr>
    </w:p>
    <w:p w14:paraId="73F3162D" w14:textId="685BF745" w:rsidR="002C201D" w:rsidRPr="00DB533C" w:rsidRDefault="00770316" w:rsidP="00E50F8F">
      <w:pPr>
        <w:rPr>
          <w:lang w:val="en-US"/>
        </w:rPr>
      </w:pPr>
      <w:r w:rsidRPr="00DB533C">
        <w:rPr>
          <w:lang w:val="en-US"/>
        </w:rPr>
        <w:t xml:space="preserve">Schuler </w:t>
      </w:r>
      <w:r w:rsidR="00C646D7" w:rsidRPr="00DB533C">
        <w:rPr>
          <w:lang w:val="en-US"/>
        </w:rPr>
        <w:t xml:space="preserve">expects a noticeable increase in sales and earnings in the current fiscal year </w:t>
      </w:r>
      <w:r w:rsidR="00EE69FD" w:rsidRPr="00DB533C">
        <w:rPr>
          <w:lang w:val="en-US"/>
        </w:rPr>
        <w:t>2017</w:t>
      </w:r>
      <w:r w:rsidRPr="00DB533C">
        <w:rPr>
          <w:lang w:val="en-US"/>
        </w:rPr>
        <w:t xml:space="preserve">. </w:t>
      </w:r>
      <w:r w:rsidR="00C646D7" w:rsidRPr="00DB533C">
        <w:rPr>
          <w:lang w:val="en-US"/>
        </w:rPr>
        <w:t>The improved o</w:t>
      </w:r>
      <w:r w:rsidR="006908E0" w:rsidRPr="00DB533C">
        <w:rPr>
          <w:lang w:val="en-US"/>
        </w:rPr>
        <w:t>rder</w:t>
      </w:r>
      <w:r w:rsidR="00C646D7" w:rsidRPr="00DB533C">
        <w:rPr>
          <w:lang w:val="en-US"/>
        </w:rPr>
        <w:t xml:space="preserve"> position</w:t>
      </w:r>
      <w:r w:rsidR="006908E0" w:rsidRPr="00DB533C">
        <w:rPr>
          <w:lang w:val="en-US"/>
        </w:rPr>
        <w:t xml:space="preserve">, </w:t>
      </w:r>
      <w:r w:rsidR="00C646D7" w:rsidRPr="00DB533C">
        <w:rPr>
          <w:lang w:val="en-US"/>
        </w:rPr>
        <w:t>more favorable co</w:t>
      </w:r>
      <w:r w:rsidR="009F3063" w:rsidRPr="00DB533C">
        <w:rPr>
          <w:lang w:val="en-US"/>
        </w:rPr>
        <w:t>st</w:t>
      </w:r>
      <w:r w:rsidR="00C646D7" w:rsidRPr="00DB533C">
        <w:rPr>
          <w:lang w:val="en-US"/>
        </w:rPr>
        <w:t xml:space="preserve"> </w:t>
      </w:r>
      <w:r w:rsidR="009F3063" w:rsidRPr="00DB533C">
        <w:rPr>
          <w:lang w:val="en-US"/>
        </w:rPr>
        <w:t>stru</w:t>
      </w:r>
      <w:r w:rsidR="00C646D7" w:rsidRPr="00DB533C">
        <w:rPr>
          <w:lang w:val="en-US"/>
        </w:rPr>
        <w:t>c</w:t>
      </w:r>
      <w:r w:rsidR="009F3063" w:rsidRPr="00DB533C">
        <w:rPr>
          <w:lang w:val="en-US"/>
        </w:rPr>
        <w:t>ture</w:t>
      </w:r>
      <w:r w:rsidR="00C646D7" w:rsidRPr="00DB533C">
        <w:rPr>
          <w:lang w:val="en-US"/>
        </w:rPr>
        <w:t xml:space="preserve">s in Germany due to the almost completed pooling of production at four sites, and the first full-year contribution of earnings from </w:t>
      </w:r>
      <w:proofErr w:type="spellStart"/>
      <w:r w:rsidR="00C646D7" w:rsidRPr="00DB533C">
        <w:rPr>
          <w:lang w:val="en-US"/>
        </w:rPr>
        <w:t>Yadon</w:t>
      </w:r>
      <w:proofErr w:type="spellEnd"/>
      <w:r w:rsidR="00C646D7" w:rsidRPr="00DB533C">
        <w:rPr>
          <w:lang w:val="en-US"/>
        </w:rPr>
        <w:t xml:space="preserve"> and AWEBA are all expected to provide a </w:t>
      </w:r>
      <w:r w:rsidR="009F3063" w:rsidRPr="00DB533C">
        <w:rPr>
          <w:lang w:val="en-US"/>
        </w:rPr>
        <w:t xml:space="preserve">positive </w:t>
      </w:r>
      <w:r w:rsidR="00C646D7" w:rsidRPr="00DB533C">
        <w:rPr>
          <w:lang w:val="en-US"/>
        </w:rPr>
        <w:t>impetus</w:t>
      </w:r>
      <w:r w:rsidR="009F3063" w:rsidRPr="00DB533C">
        <w:rPr>
          <w:lang w:val="en-US"/>
        </w:rPr>
        <w:t>.</w:t>
      </w:r>
      <w:r w:rsidR="00A71C85" w:rsidRPr="00DB533C">
        <w:rPr>
          <w:lang w:val="en-US"/>
        </w:rPr>
        <w:t xml:space="preserve"> </w:t>
      </w:r>
      <w:r w:rsidR="00C646D7" w:rsidRPr="00DB533C">
        <w:rPr>
          <w:lang w:val="en-US"/>
        </w:rPr>
        <w:t xml:space="preserve">With regard to the </w:t>
      </w:r>
      <w:r w:rsidR="00A71C85" w:rsidRPr="00DB533C">
        <w:rPr>
          <w:lang w:val="en-US"/>
        </w:rPr>
        <w:t>ma</w:t>
      </w:r>
      <w:r w:rsidR="00C646D7" w:rsidRPr="00DB533C">
        <w:rPr>
          <w:lang w:val="en-US"/>
        </w:rPr>
        <w:t>c</w:t>
      </w:r>
      <w:r w:rsidR="00A71C85" w:rsidRPr="00DB533C">
        <w:rPr>
          <w:lang w:val="en-US"/>
        </w:rPr>
        <w:t>ro</w:t>
      </w:r>
      <w:r w:rsidR="00C646D7" w:rsidRPr="00DB533C">
        <w:rPr>
          <w:lang w:val="en-US"/>
        </w:rPr>
        <w:t>ec</w:t>
      </w:r>
      <w:r w:rsidR="00A71C85" w:rsidRPr="00DB533C">
        <w:rPr>
          <w:lang w:val="en-US"/>
        </w:rPr>
        <w:t>onomic</w:t>
      </w:r>
      <w:r w:rsidR="00C646D7" w:rsidRPr="00DB533C">
        <w:rPr>
          <w:lang w:val="en-US"/>
        </w:rPr>
        <w:t xml:space="preserve"> conditions, </w:t>
      </w:r>
      <w:r w:rsidR="00A71C85" w:rsidRPr="00DB533C">
        <w:rPr>
          <w:lang w:val="en-US"/>
        </w:rPr>
        <w:t xml:space="preserve">Schuler </w:t>
      </w:r>
      <w:r w:rsidR="00C646D7" w:rsidRPr="00DB533C">
        <w:rPr>
          <w:lang w:val="en-US"/>
        </w:rPr>
        <w:t>expects largely stab</w:t>
      </w:r>
      <w:r w:rsidR="009F3063" w:rsidRPr="00DB533C">
        <w:rPr>
          <w:lang w:val="en-US"/>
        </w:rPr>
        <w:t xml:space="preserve">le </w:t>
      </w:r>
      <w:r w:rsidR="00C646D7" w:rsidRPr="00DB533C">
        <w:rPr>
          <w:lang w:val="en-US"/>
        </w:rPr>
        <w:t xml:space="preserve">GDP growth </w:t>
      </w:r>
      <w:r w:rsidR="00C646D7" w:rsidRPr="00DB533C">
        <w:rPr>
          <w:lang w:val="en-US"/>
        </w:rPr>
        <w:lastRenderedPageBreak/>
        <w:t>for Europe and China in 2017</w:t>
      </w:r>
      <w:r w:rsidR="009F3063" w:rsidRPr="00DB533C">
        <w:rPr>
          <w:lang w:val="en-US"/>
        </w:rPr>
        <w:t xml:space="preserve">, </w:t>
      </w:r>
      <w:r w:rsidR="00C646D7" w:rsidRPr="00DB533C">
        <w:rPr>
          <w:lang w:val="en-US"/>
        </w:rPr>
        <w:t xml:space="preserve">and even an acceleration of growth </w:t>
      </w:r>
      <w:r w:rsidR="009F3063" w:rsidRPr="00DB533C">
        <w:rPr>
          <w:lang w:val="en-US"/>
        </w:rPr>
        <w:t xml:space="preserve">in </w:t>
      </w:r>
      <w:r w:rsidR="00C646D7" w:rsidRPr="00DB533C">
        <w:rPr>
          <w:lang w:val="en-US"/>
        </w:rPr>
        <w:t xml:space="preserve">the </w:t>
      </w:r>
      <w:r w:rsidR="009F3063" w:rsidRPr="00DB533C">
        <w:rPr>
          <w:lang w:val="en-US"/>
        </w:rPr>
        <w:t>USA.</w:t>
      </w:r>
    </w:p>
    <w:p w14:paraId="4FA6A313" w14:textId="77777777" w:rsidR="009C147A" w:rsidRPr="00DB533C" w:rsidRDefault="009F3063" w:rsidP="00E50F8F">
      <w:pPr>
        <w:rPr>
          <w:lang w:val="en-US"/>
        </w:rPr>
      </w:pPr>
      <w:r w:rsidRPr="00DB533C">
        <w:rPr>
          <w:lang w:val="en-US"/>
        </w:rPr>
        <w:t xml:space="preserve"> </w:t>
      </w:r>
    </w:p>
    <w:p w14:paraId="46CAEAF1" w14:textId="538E682A" w:rsidR="00072575" w:rsidRPr="00DB533C" w:rsidRDefault="00C646D7" w:rsidP="00E50F8F">
      <w:pPr>
        <w:rPr>
          <w:b/>
          <w:lang w:val="en-US"/>
        </w:rPr>
      </w:pPr>
      <w:r w:rsidRPr="00DB533C">
        <w:rPr>
          <w:b/>
          <w:lang w:val="en-US"/>
        </w:rPr>
        <w:t xml:space="preserve">Growth </w:t>
      </w:r>
      <w:r w:rsidR="00072575" w:rsidRPr="00DB533C">
        <w:rPr>
          <w:b/>
          <w:lang w:val="en-US"/>
        </w:rPr>
        <w:t>program</w:t>
      </w:r>
      <w:r w:rsidRPr="00DB533C">
        <w:rPr>
          <w:b/>
          <w:lang w:val="en-US"/>
        </w:rPr>
        <w:t xml:space="preserve"> launched</w:t>
      </w:r>
    </w:p>
    <w:p w14:paraId="71A3EDA0" w14:textId="609A1F1A" w:rsidR="000A01AD" w:rsidRPr="00DB533C" w:rsidRDefault="004B2A6D" w:rsidP="00E50F8F">
      <w:pPr>
        <w:rPr>
          <w:lang w:val="en-US"/>
        </w:rPr>
      </w:pPr>
      <w:r w:rsidRPr="00DB533C">
        <w:rPr>
          <w:lang w:val="en-US"/>
        </w:rPr>
        <w:t>In Ameri</w:t>
      </w:r>
      <w:r w:rsidR="00C646D7" w:rsidRPr="00DB533C">
        <w:rPr>
          <w:lang w:val="en-US"/>
        </w:rPr>
        <w:t>c</w:t>
      </w:r>
      <w:r w:rsidRPr="00DB533C">
        <w:rPr>
          <w:lang w:val="en-US"/>
        </w:rPr>
        <w:t>a</w:t>
      </w:r>
      <w:r w:rsidR="00C646D7" w:rsidRPr="00DB533C">
        <w:rPr>
          <w:lang w:val="en-US"/>
        </w:rPr>
        <w:t>,</w:t>
      </w:r>
      <w:r w:rsidRPr="00DB533C">
        <w:rPr>
          <w:lang w:val="en-US"/>
        </w:rPr>
        <w:t xml:space="preserve"> Schuler </w:t>
      </w:r>
      <w:r w:rsidR="00C646D7" w:rsidRPr="00DB533C">
        <w:rPr>
          <w:lang w:val="en-US"/>
        </w:rPr>
        <w:t>revived its own trad</w:t>
      </w:r>
      <w:r w:rsidRPr="00DB533C">
        <w:rPr>
          <w:lang w:val="en-US"/>
        </w:rPr>
        <w:t>ition</w:t>
      </w:r>
      <w:r w:rsidR="00C646D7" w:rsidRPr="00DB533C">
        <w:rPr>
          <w:lang w:val="en-US"/>
        </w:rPr>
        <w:t xml:space="preserve">al brand </w:t>
      </w:r>
      <w:r w:rsidRPr="00DB533C">
        <w:rPr>
          <w:lang w:val="en-US"/>
        </w:rPr>
        <w:t xml:space="preserve">BLISS </w:t>
      </w:r>
      <w:r w:rsidR="00C646D7" w:rsidRPr="00DB533C">
        <w:rPr>
          <w:lang w:val="en-US"/>
        </w:rPr>
        <w:t>in 2016 a</w:t>
      </w:r>
      <w:r w:rsidRPr="00DB533C">
        <w:rPr>
          <w:lang w:val="en-US"/>
        </w:rPr>
        <w:t xml:space="preserve">nd </w:t>
      </w:r>
      <w:r w:rsidR="00C646D7" w:rsidRPr="00DB533C">
        <w:rPr>
          <w:lang w:val="en-US"/>
        </w:rPr>
        <w:t>has already enjoyed initial success with a new ma</w:t>
      </w:r>
      <w:r w:rsidRPr="00DB533C">
        <w:rPr>
          <w:lang w:val="en-US"/>
        </w:rPr>
        <w:t>chine</w:t>
      </w:r>
      <w:r w:rsidR="00C646D7" w:rsidRPr="00DB533C">
        <w:rPr>
          <w:lang w:val="en-US"/>
        </w:rPr>
        <w:t xml:space="preserve"> </w:t>
      </w:r>
      <w:r w:rsidRPr="00DB533C">
        <w:rPr>
          <w:lang w:val="en-US"/>
        </w:rPr>
        <w:t xml:space="preserve">generation. </w:t>
      </w:r>
      <w:r w:rsidR="00C646D7" w:rsidRPr="00DB533C">
        <w:rPr>
          <w:lang w:val="en-US"/>
        </w:rPr>
        <w:t xml:space="preserve">“All in all, we aim to accelerate </w:t>
      </w:r>
      <w:r w:rsidR="002C201D" w:rsidRPr="00DB533C">
        <w:rPr>
          <w:lang w:val="en-US"/>
        </w:rPr>
        <w:t>Schuler</w:t>
      </w:r>
      <w:r w:rsidR="00C646D7" w:rsidRPr="00DB533C">
        <w:rPr>
          <w:lang w:val="en-US"/>
        </w:rPr>
        <w:t xml:space="preserve">’s growth </w:t>
      </w:r>
      <w:r w:rsidR="002C201D" w:rsidRPr="00DB533C">
        <w:rPr>
          <w:lang w:val="en-US"/>
        </w:rPr>
        <w:t xml:space="preserve">in </w:t>
      </w:r>
      <w:r w:rsidR="00C646D7" w:rsidRPr="00DB533C">
        <w:rPr>
          <w:lang w:val="en-US"/>
        </w:rPr>
        <w:t xml:space="preserve">the coming years,” said CEO </w:t>
      </w:r>
      <w:proofErr w:type="spellStart"/>
      <w:r w:rsidR="002C201D" w:rsidRPr="00DB533C">
        <w:rPr>
          <w:lang w:val="en-US"/>
        </w:rPr>
        <w:t>Klebert</w:t>
      </w:r>
      <w:proofErr w:type="spellEnd"/>
      <w:r w:rsidR="002C201D" w:rsidRPr="00DB533C">
        <w:rPr>
          <w:lang w:val="en-US"/>
        </w:rPr>
        <w:t xml:space="preserve">. </w:t>
      </w:r>
      <w:r w:rsidR="00C646D7" w:rsidRPr="00DB533C">
        <w:rPr>
          <w:lang w:val="en-US"/>
        </w:rPr>
        <w:t xml:space="preserve">“With our growth </w:t>
      </w:r>
      <w:r w:rsidR="009C147A" w:rsidRPr="00DB533C">
        <w:rPr>
          <w:lang w:val="en-US"/>
        </w:rPr>
        <w:t>program</w:t>
      </w:r>
      <w:r w:rsidR="00C646D7" w:rsidRPr="00DB533C">
        <w:rPr>
          <w:lang w:val="en-US"/>
        </w:rPr>
        <w:t xml:space="preserve"> “</w:t>
      </w:r>
      <w:r w:rsidR="009C147A" w:rsidRPr="00DB533C">
        <w:rPr>
          <w:lang w:val="en-US"/>
        </w:rPr>
        <w:t>We</w:t>
      </w:r>
      <w:r w:rsidR="00480D95" w:rsidRPr="00DB533C">
        <w:rPr>
          <w:lang w:val="en-US"/>
        </w:rPr>
        <w:t xml:space="preserve"> </w:t>
      </w:r>
      <w:r w:rsidR="009C147A" w:rsidRPr="00DB533C">
        <w:rPr>
          <w:lang w:val="en-US"/>
        </w:rPr>
        <w:t>go for 20.2</w:t>
      </w:r>
      <w:r w:rsidR="00C646D7" w:rsidRPr="00DB533C">
        <w:rPr>
          <w:lang w:val="en-US"/>
        </w:rPr>
        <w:t>”, we are aiming above all to shorten time-to-market for innovations and to tap new customer groups with new products</w:t>
      </w:r>
      <w:r w:rsidR="000A01AD" w:rsidRPr="00DB533C">
        <w:rPr>
          <w:lang w:val="en-US"/>
        </w:rPr>
        <w:t>.</w:t>
      </w:r>
      <w:r w:rsidR="00C646D7" w:rsidRPr="00DB533C">
        <w:rPr>
          <w:lang w:val="en-US"/>
        </w:rPr>
        <w:t>”</w:t>
      </w:r>
      <w:r w:rsidR="000A01AD" w:rsidRPr="00DB533C">
        <w:rPr>
          <w:lang w:val="en-US"/>
        </w:rPr>
        <w:t xml:space="preserve"> </w:t>
      </w:r>
      <w:r w:rsidR="00C646D7" w:rsidRPr="00DB533C">
        <w:rPr>
          <w:lang w:val="en-US"/>
        </w:rPr>
        <w:t>Including possible acquisitions, the target is to reach a sales corridor of a</w:t>
      </w:r>
      <w:r w:rsidR="000262E3" w:rsidRPr="00DB533C">
        <w:rPr>
          <w:lang w:val="en-US"/>
        </w:rPr>
        <w:t>r</w:t>
      </w:r>
      <w:r w:rsidR="00C646D7" w:rsidRPr="00DB533C">
        <w:rPr>
          <w:lang w:val="en-US"/>
        </w:rPr>
        <w:t>o</w:t>
      </w:r>
      <w:r w:rsidR="000262E3" w:rsidRPr="00DB533C">
        <w:rPr>
          <w:lang w:val="en-US"/>
        </w:rPr>
        <w:t xml:space="preserve">und </w:t>
      </w:r>
      <w:r w:rsidR="00C646D7" w:rsidRPr="00DB533C">
        <w:rPr>
          <w:lang w:val="en-US"/>
        </w:rPr>
        <w:t xml:space="preserve">€ 2 </w:t>
      </w:r>
      <w:r w:rsidR="00960B80" w:rsidRPr="00DB533C">
        <w:rPr>
          <w:lang w:val="en-US"/>
        </w:rPr>
        <w:t>billion</w:t>
      </w:r>
      <w:r w:rsidR="000262E3" w:rsidRPr="00DB533C">
        <w:rPr>
          <w:lang w:val="en-US"/>
        </w:rPr>
        <w:t xml:space="preserve"> </w:t>
      </w:r>
      <w:r w:rsidR="00C646D7" w:rsidRPr="00DB533C">
        <w:rPr>
          <w:lang w:val="en-US"/>
        </w:rPr>
        <w:t>by 2020</w:t>
      </w:r>
      <w:r w:rsidR="000262E3" w:rsidRPr="00DB533C">
        <w:rPr>
          <w:lang w:val="en-US"/>
        </w:rPr>
        <w:t>.</w:t>
      </w:r>
    </w:p>
    <w:p w14:paraId="38DFF74E" w14:textId="77777777" w:rsidR="000A01AD" w:rsidRPr="00DB533C" w:rsidRDefault="000A01AD" w:rsidP="00E50F8F">
      <w:pPr>
        <w:rPr>
          <w:lang w:val="en-US"/>
        </w:rPr>
      </w:pPr>
    </w:p>
    <w:p w14:paraId="031F3FA2" w14:textId="314A8F7E" w:rsidR="000A01AD" w:rsidRPr="00DB533C" w:rsidRDefault="00C646D7" w:rsidP="00E50F8F">
      <w:pPr>
        <w:rPr>
          <w:lang w:val="en-US"/>
        </w:rPr>
      </w:pPr>
      <w:r w:rsidRPr="00DB533C">
        <w:rPr>
          <w:lang w:val="en-US"/>
        </w:rPr>
        <w:t>An important i</w:t>
      </w:r>
      <w:r w:rsidR="000A01AD" w:rsidRPr="00DB533C">
        <w:rPr>
          <w:lang w:val="en-US"/>
        </w:rPr>
        <w:t>nnovation</w:t>
      </w:r>
      <w:r w:rsidRPr="00DB533C">
        <w:rPr>
          <w:lang w:val="en-US"/>
        </w:rPr>
        <w:t xml:space="preserve"> driver </w:t>
      </w:r>
      <w:r w:rsidR="000A01AD" w:rsidRPr="00DB533C">
        <w:rPr>
          <w:lang w:val="en-US"/>
        </w:rPr>
        <w:t>is</w:t>
      </w:r>
      <w:r w:rsidRPr="00DB533C">
        <w:rPr>
          <w:lang w:val="en-US"/>
        </w:rPr>
        <w:t xml:space="preserve"> the further d</w:t>
      </w:r>
      <w:r w:rsidR="000A01AD" w:rsidRPr="00DB533C">
        <w:rPr>
          <w:lang w:val="en-US"/>
        </w:rPr>
        <w:t>igit</w:t>
      </w:r>
      <w:r w:rsidRPr="00DB533C">
        <w:rPr>
          <w:lang w:val="en-US"/>
        </w:rPr>
        <w:t xml:space="preserve">ization of </w:t>
      </w:r>
      <w:proofErr w:type="spellStart"/>
      <w:r w:rsidRPr="00DB533C">
        <w:rPr>
          <w:lang w:val="en-US"/>
        </w:rPr>
        <w:t>metal</w:t>
      </w:r>
      <w:r w:rsidR="000A01AD" w:rsidRPr="00DB533C">
        <w:rPr>
          <w:lang w:val="en-US"/>
        </w:rPr>
        <w:t>form</w:t>
      </w:r>
      <w:r w:rsidRPr="00DB533C">
        <w:rPr>
          <w:lang w:val="en-US"/>
        </w:rPr>
        <w:t>ing</w:t>
      </w:r>
      <w:proofErr w:type="spellEnd"/>
      <w:r w:rsidRPr="00DB533C">
        <w:rPr>
          <w:lang w:val="en-US"/>
        </w:rPr>
        <w:t xml:space="preserve"> technology</w:t>
      </w:r>
      <w:r w:rsidR="000A01AD" w:rsidRPr="00DB533C">
        <w:rPr>
          <w:lang w:val="en-US"/>
        </w:rPr>
        <w:t xml:space="preserve">. </w:t>
      </w:r>
      <w:r w:rsidRPr="00DB533C">
        <w:rPr>
          <w:lang w:val="en-US"/>
        </w:rPr>
        <w:t xml:space="preserve">In 2016, </w:t>
      </w:r>
      <w:r w:rsidR="000A01AD" w:rsidRPr="00DB533C">
        <w:rPr>
          <w:lang w:val="en-US"/>
        </w:rPr>
        <w:t xml:space="preserve">Schuler </w:t>
      </w:r>
      <w:r w:rsidRPr="00DB533C">
        <w:rPr>
          <w:lang w:val="en-US"/>
        </w:rPr>
        <w:t xml:space="preserve">unveiled its </w:t>
      </w:r>
      <w:r w:rsidR="000A01AD" w:rsidRPr="00DB533C">
        <w:rPr>
          <w:lang w:val="en-US"/>
        </w:rPr>
        <w:t>Smart Press Shop</w:t>
      </w:r>
      <w:r w:rsidRPr="00DB533C">
        <w:rPr>
          <w:lang w:val="en-US"/>
        </w:rPr>
        <w:t xml:space="preserve"> to address this issue</w:t>
      </w:r>
      <w:r w:rsidR="000A01AD" w:rsidRPr="00DB533C">
        <w:rPr>
          <w:lang w:val="en-US"/>
        </w:rPr>
        <w:t xml:space="preserve">. </w:t>
      </w:r>
      <w:r w:rsidRPr="00DB533C">
        <w:rPr>
          <w:lang w:val="en-US"/>
        </w:rPr>
        <w:t xml:space="preserve">It showcases </w:t>
      </w:r>
      <w:r w:rsidR="004670BD" w:rsidRPr="00DB533C">
        <w:rPr>
          <w:lang w:val="en-US"/>
        </w:rPr>
        <w:t>digi</w:t>
      </w:r>
      <w:r w:rsidR="005D74A9" w:rsidRPr="00DB533C">
        <w:rPr>
          <w:lang w:val="en-US"/>
        </w:rPr>
        <w:t>t</w:t>
      </w:r>
      <w:r w:rsidR="004670BD" w:rsidRPr="00DB533C">
        <w:rPr>
          <w:lang w:val="en-US"/>
        </w:rPr>
        <w:t>al</w:t>
      </w:r>
      <w:r w:rsidRPr="00DB533C">
        <w:rPr>
          <w:lang w:val="en-US"/>
        </w:rPr>
        <w:t xml:space="preserve"> solutions for the networking of </w:t>
      </w:r>
      <w:r w:rsidR="004670BD" w:rsidRPr="00DB533C">
        <w:rPr>
          <w:lang w:val="en-US"/>
        </w:rPr>
        <w:t>form</w:t>
      </w:r>
      <w:r w:rsidRPr="00DB533C">
        <w:rPr>
          <w:lang w:val="en-US"/>
        </w:rPr>
        <w:t xml:space="preserve">ing </w:t>
      </w:r>
      <w:r w:rsidR="004670BD" w:rsidRPr="00DB533C">
        <w:rPr>
          <w:lang w:val="en-US"/>
        </w:rPr>
        <w:t>techn</w:t>
      </w:r>
      <w:r w:rsidRPr="00DB533C">
        <w:rPr>
          <w:lang w:val="en-US"/>
        </w:rPr>
        <w:t>ology which increase both the p</w:t>
      </w:r>
      <w:r w:rsidR="004670BD" w:rsidRPr="00DB533C">
        <w:rPr>
          <w:lang w:val="en-US"/>
        </w:rPr>
        <w:t>ro</w:t>
      </w:r>
      <w:r w:rsidRPr="00DB533C">
        <w:rPr>
          <w:lang w:val="en-US"/>
        </w:rPr>
        <w:t>c</w:t>
      </w:r>
      <w:r w:rsidR="004670BD" w:rsidRPr="00DB533C">
        <w:rPr>
          <w:lang w:val="en-US"/>
        </w:rPr>
        <w:t>ess</w:t>
      </w:r>
      <w:r w:rsidRPr="00DB533C">
        <w:rPr>
          <w:lang w:val="en-US"/>
        </w:rPr>
        <w:t xml:space="preserve"> reliability and economic efficiency of p</w:t>
      </w:r>
      <w:r w:rsidR="004670BD" w:rsidRPr="00DB533C">
        <w:rPr>
          <w:lang w:val="en-US"/>
        </w:rPr>
        <w:t>rodu</w:t>
      </w:r>
      <w:r w:rsidRPr="00DB533C">
        <w:rPr>
          <w:lang w:val="en-US"/>
        </w:rPr>
        <w:t>c</w:t>
      </w:r>
      <w:r w:rsidR="004670BD" w:rsidRPr="00DB533C">
        <w:rPr>
          <w:lang w:val="en-US"/>
        </w:rPr>
        <w:t xml:space="preserve">tion </w:t>
      </w:r>
      <w:r w:rsidRPr="00DB533C">
        <w:rPr>
          <w:lang w:val="en-US"/>
        </w:rPr>
        <w:t>for Schuler’s customers</w:t>
      </w:r>
      <w:r w:rsidR="004670BD" w:rsidRPr="00DB533C">
        <w:rPr>
          <w:lang w:val="en-US"/>
        </w:rPr>
        <w:t>.</w:t>
      </w:r>
      <w:r w:rsidR="000A01AD" w:rsidRPr="00DB533C">
        <w:rPr>
          <w:lang w:val="en-US"/>
        </w:rPr>
        <w:t xml:space="preserve"> </w:t>
      </w:r>
    </w:p>
    <w:p w14:paraId="60D8EA97" w14:textId="77777777" w:rsidR="000A01AD" w:rsidRPr="00DB533C" w:rsidRDefault="000A01AD" w:rsidP="00E50F8F">
      <w:pPr>
        <w:rPr>
          <w:lang w:val="en-US"/>
        </w:rPr>
      </w:pPr>
    </w:p>
    <w:p w14:paraId="7CAC7A4C" w14:textId="6BC968EA" w:rsidR="003973F9" w:rsidRPr="00DB533C" w:rsidRDefault="00EE69FD" w:rsidP="000A01AD">
      <w:pPr>
        <w:rPr>
          <w:b/>
          <w:lang w:val="en-US"/>
        </w:rPr>
      </w:pPr>
      <w:r w:rsidRPr="00DB533C">
        <w:rPr>
          <w:b/>
          <w:lang w:val="en-US"/>
        </w:rPr>
        <w:t>Mi</w:t>
      </w:r>
      <w:r w:rsidR="00C646D7" w:rsidRPr="00DB533C">
        <w:rPr>
          <w:b/>
          <w:lang w:val="en-US"/>
        </w:rPr>
        <w:t>d-range m</w:t>
      </w:r>
      <w:r w:rsidRPr="00DB533C">
        <w:rPr>
          <w:b/>
          <w:lang w:val="en-US"/>
        </w:rPr>
        <w:t>ark</w:t>
      </w:r>
      <w:r w:rsidR="00C646D7" w:rsidRPr="00DB533C">
        <w:rPr>
          <w:b/>
          <w:lang w:val="en-US"/>
        </w:rPr>
        <w:t>e</w:t>
      </w:r>
      <w:r w:rsidRPr="00DB533C">
        <w:rPr>
          <w:b/>
          <w:lang w:val="en-US"/>
        </w:rPr>
        <w:t>t</w:t>
      </w:r>
      <w:r w:rsidR="00C646D7" w:rsidRPr="00DB533C">
        <w:rPr>
          <w:b/>
          <w:lang w:val="en-US"/>
        </w:rPr>
        <w:t xml:space="preserve"> </w:t>
      </w:r>
      <w:r w:rsidRPr="00DB533C">
        <w:rPr>
          <w:b/>
          <w:lang w:val="en-US"/>
        </w:rPr>
        <w:t>s</w:t>
      </w:r>
      <w:r w:rsidR="003973F9" w:rsidRPr="00DB533C">
        <w:rPr>
          <w:b/>
          <w:lang w:val="en-US"/>
        </w:rPr>
        <w:t xml:space="preserve">egment </w:t>
      </w:r>
      <w:r w:rsidR="00C646D7" w:rsidRPr="00DB533C">
        <w:rPr>
          <w:b/>
          <w:lang w:val="en-US"/>
        </w:rPr>
        <w:t>a</w:t>
      </w:r>
      <w:r w:rsidR="003973F9" w:rsidRPr="00DB533C">
        <w:rPr>
          <w:b/>
          <w:lang w:val="en-US"/>
        </w:rPr>
        <w:t xml:space="preserve">nd </w:t>
      </w:r>
      <w:r w:rsidR="00C646D7" w:rsidRPr="00DB533C">
        <w:rPr>
          <w:b/>
          <w:lang w:val="en-US"/>
        </w:rPr>
        <w:t>e</w:t>
      </w:r>
      <w:r w:rsidR="003973F9" w:rsidRPr="00DB533C">
        <w:rPr>
          <w:b/>
          <w:lang w:val="en-US"/>
        </w:rPr>
        <w:t>-</w:t>
      </w:r>
      <w:r w:rsidR="00C646D7" w:rsidRPr="00DB533C">
        <w:rPr>
          <w:b/>
          <w:lang w:val="en-US"/>
        </w:rPr>
        <w:t>m</w:t>
      </w:r>
      <w:r w:rsidR="003973F9" w:rsidRPr="00DB533C">
        <w:rPr>
          <w:b/>
          <w:lang w:val="en-US"/>
        </w:rPr>
        <w:t>obilit</w:t>
      </w:r>
      <w:r w:rsidR="00C646D7" w:rsidRPr="00DB533C">
        <w:rPr>
          <w:b/>
          <w:lang w:val="en-US"/>
        </w:rPr>
        <w:t>y offer future potential</w:t>
      </w:r>
    </w:p>
    <w:p w14:paraId="7FDCA579" w14:textId="3F71116E" w:rsidR="007D508E" w:rsidRPr="00DB533C" w:rsidRDefault="00C646D7" w:rsidP="000A01AD">
      <w:pPr>
        <w:rPr>
          <w:lang w:val="en-US"/>
        </w:rPr>
      </w:pPr>
      <w:r w:rsidRPr="00DB533C">
        <w:rPr>
          <w:lang w:val="en-US"/>
        </w:rPr>
        <w:t>With regard to p</w:t>
      </w:r>
      <w:r w:rsidR="000A01AD" w:rsidRPr="00DB533C">
        <w:rPr>
          <w:lang w:val="en-US"/>
        </w:rPr>
        <w:t>rodu</w:t>
      </w:r>
      <w:r w:rsidRPr="00DB533C">
        <w:rPr>
          <w:lang w:val="en-US"/>
        </w:rPr>
        <w:t xml:space="preserve">cts, </w:t>
      </w:r>
      <w:r w:rsidR="000A01AD" w:rsidRPr="00DB533C">
        <w:rPr>
          <w:lang w:val="en-US"/>
        </w:rPr>
        <w:t>Schuler is</w:t>
      </w:r>
      <w:r w:rsidRPr="00DB533C">
        <w:rPr>
          <w:lang w:val="en-US"/>
        </w:rPr>
        <w:t xml:space="preserve"> targeting the </w:t>
      </w:r>
      <w:r w:rsidR="0065642C" w:rsidRPr="00DB533C">
        <w:rPr>
          <w:lang w:val="en-US"/>
        </w:rPr>
        <w:t>w</w:t>
      </w:r>
      <w:r w:rsidRPr="00DB533C">
        <w:rPr>
          <w:lang w:val="en-US"/>
        </w:rPr>
        <w:t>orld’s fastest growing s</w:t>
      </w:r>
      <w:r w:rsidR="000A01AD" w:rsidRPr="00DB533C">
        <w:rPr>
          <w:lang w:val="en-US"/>
        </w:rPr>
        <w:t xml:space="preserve">egment </w:t>
      </w:r>
      <w:r w:rsidRPr="00DB533C">
        <w:rPr>
          <w:lang w:val="en-US"/>
        </w:rPr>
        <w:t>– mid-priced p</w:t>
      </w:r>
      <w:r w:rsidR="000A01AD" w:rsidRPr="00DB533C">
        <w:rPr>
          <w:lang w:val="en-US"/>
        </w:rPr>
        <w:t>ress</w:t>
      </w:r>
      <w:r w:rsidRPr="00DB533C">
        <w:rPr>
          <w:lang w:val="en-US"/>
        </w:rPr>
        <w:t xml:space="preserve"> </w:t>
      </w:r>
      <w:r w:rsidR="000A01AD" w:rsidRPr="00DB533C">
        <w:rPr>
          <w:lang w:val="en-US"/>
        </w:rPr>
        <w:t>lin</w:t>
      </w:r>
      <w:r w:rsidRPr="00DB533C">
        <w:rPr>
          <w:lang w:val="en-US"/>
        </w:rPr>
        <w:t>es</w:t>
      </w:r>
      <w:r w:rsidR="000A01AD" w:rsidRPr="00DB533C">
        <w:rPr>
          <w:lang w:val="en-US"/>
        </w:rPr>
        <w:t xml:space="preserve">. </w:t>
      </w:r>
      <w:proofErr w:type="spellStart"/>
      <w:r w:rsidR="000A01AD" w:rsidRPr="00DB533C">
        <w:rPr>
          <w:lang w:val="en-US"/>
        </w:rPr>
        <w:t>Yadon</w:t>
      </w:r>
      <w:r w:rsidRPr="00DB533C">
        <w:rPr>
          <w:lang w:val="en-US"/>
        </w:rPr>
        <w:t>’s</w:t>
      </w:r>
      <w:proofErr w:type="spellEnd"/>
      <w:r w:rsidRPr="00DB533C">
        <w:rPr>
          <w:lang w:val="en-US"/>
        </w:rPr>
        <w:t xml:space="preserve"> technologies and Schuler’s own new developments, like the soon-to-be-launched </w:t>
      </w:r>
      <w:r w:rsidR="00480D95" w:rsidRPr="00DB533C">
        <w:rPr>
          <w:lang w:val="en-US"/>
        </w:rPr>
        <w:t>MS</w:t>
      </w:r>
      <w:r w:rsidR="005769A0" w:rsidRPr="00DB533C">
        <w:rPr>
          <w:lang w:val="en-US"/>
        </w:rPr>
        <w:t xml:space="preserve">P 400 </w:t>
      </w:r>
      <w:r w:rsidRPr="00DB533C">
        <w:rPr>
          <w:lang w:val="en-US"/>
        </w:rPr>
        <w:t>press, both play an important r</w:t>
      </w:r>
      <w:r w:rsidR="000A01AD" w:rsidRPr="00DB533C">
        <w:rPr>
          <w:lang w:val="en-US"/>
        </w:rPr>
        <w:t>ole</w:t>
      </w:r>
      <w:r w:rsidRPr="00DB533C">
        <w:rPr>
          <w:lang w:val="en-US"/>
        </w:rPr>
        <w:t xml:space="preserve"> in this strategy</w:t>
      </w:r>
      <w:r w:rsidR="000A01AD" w:rsidRPr="00DB533C">
        <w:rPr>
          <w:lang w:val="en-US"/>
        </w:rPr>
        <w:t xml:space="preserve">. </w:t>
      </w:r>
      <w:r w:rsidRPr="00DB533C">
        <w:rPr>
          <w:lang w:val="en-US"/>
        </w:rPr>
        <w:t xml:space="preserve">At the same time, </w:t>
      </w:r>
      <w:r w:rsidR="003908E3" w:rsidRPr="00DB533C">
        <w:rPr>
          <w:lang w:val="en-US"/>
        </w:rPr>
        <w:t xml:space="preserve">Schuler </w:t>
      </w:r>
      <w:r w:rsidRPr="00DB533C">
        <w:rPr>
          <w:lang w:val="en-US"/>
        </w:rPr>
        <w:t xml:space="preserve">has entered the new market of </w:t>
      </w:r>
      <w:proofErr w:type="spellStart"/>
      <w:r w:rsidRPr="00DB533C">
        <w:rPr>
          <w:lang w:val="en-US"/>
        </w:rPr>
        <w:t>e</w:t>
      </w:r>
      <w:r w:rsidR="003908E3" w:rsidRPr="00DB533C">
        <w:rPr>
          <w:lang w:val="en-US"/>
        </w:rPr>
        <w:t>le</w:t>
      </w:r>
      <w:r w:rsidRPr="00DB533C">
        <w:rPr>
          <w:lang w:val="en-US"/>
        </w:rPr>
        <w:t>c</w:t>
      </w:r>
      <w:r w:rsidR="003908E3" w:rsidRPr="00DB533C">
        <w:rPr>
          <w:lang w:val="en-US"/>
        </w:rPr>
        <w:t>tromobilit</w:t>
      </w:r>
      <w:r w:rsidRPr="00DB533C">
        <w:rPr>
          <w:lang w:val="en-US"/>
        </w:rPr>
        <w:t>y</w:t>
      </w:r>
      <w:proofErr w:type="spellEnd"/>
      <w:r w:rsidR="003908E3" w:rsidRPr="00DB533C">
        <w:rPr>
          <w:lang w:val="en-US"/>
        </w:rPr>
        <w:t xml:space="preserve">. </w:t>
      </w:r>
      <w:r w:rsidRPr="00DB533C">
        <w:rPr>
          <w:lang w:val="en-US"/>
        </w:rPr>
        <w:t>Corresponding orders from a leading e</w:t>
      </w:r>
      <w:r w:rsidR="00FB695F" w:rsidRPr="00DB533C">
        <w:rPr>
          <w:lang w:val="en-US"/>
        </w:rPr>
        <w:t>le</w:t>
      </w:r>
      <w:r w:rsidRPr="00DB533C">
        <w:rPr>
          <w:lang w:val="en-US"/>
        </w:rPr>
        <w:t>ctric vehicle manufacturer and the German t</w:t>
      </w:r>
      <w:r w:rsidR="003973F9" w:rsidRPr="00DB533C">
        <w:rPr>
          <w:lang w:val="en-US"/>
        </w:rPr>
        <w:t>radition</w:t>
      </w:r>
      <w:r w:rsidRPr="00DB533C">
        <w:rPr>
          <w:lang w:val="en-US"/>
        </w:rPr>
        <w:t xml:space="preserve">al brand </w:t>
      </w:r>
      <w:proofErr w:type="spellStart"/>
      <w:r w:rsidR="003973F9" w:rsidRPr="00DB533C">
        <w:rPr>
          <w:lang w:val="en-US"/>
        </w:rPr>
        <w:t>Borgward</w:t>
      </w:r>
      <w:proofErr w:type="spellEnd"/>
      <w:r w:rsidRPr="00DB533C">
        <w:rPr>
          <w:lang w:val="en-US"/>
        </w:rPr>
        <w:t>, as well as from the South K</w:t>
      </w:r>
      <w:r w:rsidR="00EE69FD" w:rsidRPr="00DB533C">
        <w:rPr>
          <w:lang w:val="en-US"/>
        </w:rPr>
        <w:t>orean</w:t>
      </w:r>
      <w:r w:rsidRPr="00DB533C">
        <w:rPr>
          <w:lang w:val="en-US"/>
        </w:rPr>
        <w:t xml:space="preserve"> b</w:t>
      </w:r>
      <w:r w:rsidR="003973F9" w:rsidRPr="00DB533C">
        <w:rPr>
          <w:lang w:val="en-US"/>
        </w:rPr>
        <w:t>atter</w:t>
      </w:r>
      <w:r w:rsidRPr="00DB533C">
        <w:rPr>
          <w:lang w:val="en-US"/>
        </w:rPr>
        <w:t xml:space="preserve">y manufacturer </w:t>
      </w:r>
      <w:r w:rsidR="00EE69FD" w:rsidRPr="00DB533C">
        <w:rPr>
          <w:lang w:val="en-US"/>
        </w:rPr>
        <w:t>Samsung</w:t>
      </w:r>
      <w:r w:rsidRPr="00DB533C">
        <w:rPr>
          <w:lang w:val="en-US"/>
        </w:rPr>
        <w:t>, are currently being processed</w:t>
      </w:r>
      <w:r w:rsidR="003973F9" w:rsidRPr="00DB533C">
        <w:rPr>
          <w:lang w:val="en-US"/>
        </w:rPr>
        <w:t xml:space="preserve">. </w:t>
      </w:r>
      <w:r w:rsidR="004914EF" w:rsidRPr="00DB533C">
        <w:rPr>
          <w:lang w:val="en-US"/>
        </w:rPr>
        <w:t xml:space="preserve"> </w:t>
      </w:r>
    </w:p>
    <w:p w14:paraId="4EC51A80" w14:textId="77777777" w:rsidR="007D508E" w:rsidRPr="00DB533C" w:rsidRDefault="007D508E" w:rsidP="00E50F8F">
      <w:pPr>
        <w:rPr>
          <w:lang w:val="en-US"/>
        </w:rPr>
      </w:pPr>
    </w:p>
    <w:p w14:paraId="7A9690F7" w14:textId="26A1B8DC" w:rsidR="007D508E" w:rsidRPr="00DB533C" w:rsidRDefault="00C646D7" w:rsidP="00C646D7">
      <w:pPr>
        <w:rPr>
          <w:lang w:val="en-US"/>
        </w:rPr>
      </w:pPr>
      <w:r w:rsidRPr="00DB533C">
        <w:rPr>
          <w:lang w:val="en-US"/>
        </w:rPr>
        <w:lastRenderedPageBreak/>
        <w:t xml:space="preserve">At € 537 (€ 605) million, Europe still accounted for the largest share of sales </w:t>
      </w:r>
      <w:r w:rsidR="005D38A1" w:rsidRPr="00DB533C">
        <w:rPr>
          <w:lang w:val="en-US"/>
        </w:rPr>
        <w:t>totaling</w:t>
      </w:r>
      <w:r w:rsidR="00D650A6" w:rsidRPr="00DB533C">
        <w:rPr>
          <w:lang w:val="en-US"/>
        </w:rPr>
        <w:t xml:space="preserve"> </w:t>
      </w:r>
      <w:r w:rsidRPr="00DB533C">
        <w:rPr>
          <w:lang w:val="en-US"/>
        </w:rPr>
        <w:t xml:space="preserve">€ 1.17 billion in fiscal year 2016. Sales in China remained stable at € 299 (€ 299) million. Schuler’s business in North America made strong progress with increased sales of € 267 (€ 190) million. The number of Group employees rose to </w:t>
      </w:r>
      <w:r w:rsidR="003301EF" w:rsidRPr="00DB533C">
        <w:rPr>
          <w:lang w:val="en-US"/>
        </w:rPr>
        <w:t>6</w:t>
      </w:r>
      <w:r w:rsidRPr="00DB533C">
        <w:rPr>
          <w:lang w:val="en-US"/>
        </w:rPr>
        <w:t>,</w:t>
      </w:r>
      <w:r w:rsidR="003301EF" w:rsidRPr="00DB533C">
        <w:rPr>
          <w:lang w:val="en-US"/>
        </w:rPr>
        <w:t>617</w:t>
      </w:r>
      <w:r w:rsidR="003973F9" w:rsidRPr="00DB533C">
        <w:rPr>
          <w:lang w:val="en-US"/>
        </w:rPr>
        <w:t xml:space="preserve"> (5</w:t>
      </w:r>
      <w:r w:rsidRPr="00DB533C">
        <w:rPr>
          <w:lang w:val="en-US"/>
        </w:rPr>
        <w:t>,</w:t>
      </w:r>
      <w:r w:rsidR="003973F9" w:rsidRPr="00DB533C">
        <w:rPr>
          <w:lang w:val="en-US"/>
        </w:rPr>
        <w:t xml:space="preserve">176) </w:t>
      </w:r>
      <w:r w:rsidRPr="00DB533C">
        <w:rPr>
          <w:lang w:val="en-US"/>
        </w:rPr>
        <w:t xml:space="preserve">as of December 31. This figure includes </w:t>
      </w:r>
      <w:r w:rsidR="001852B3" w:rsidRPr="00DB533C">
        <w:rPr>
          <w:lang w:val="en-US"/>
        </w:rPr>
        <w:t>1</w:t>
      </w:r>
      <w:r w:rsidR="00D650A6" w:rsidRPr="00DB533C">
        <w:rPr>
          <w:lang w:val="en-US"/>
        </w:rPr>
        <w:t>,</w:t>
      </w:r>
      <w:r w:rsidR="001852B3" w:rsidRPr="00DB533C">
        <w:rPr>
          <w:lang w:val="en-US"/>
        </w:rPr>
        <w:t xml:space="preserve">011 </w:t>
      </w:r>
      <w:r w:rsidRPr="00DB533C">
        <w:rPr>
          <w:lang w:val="en-US"/>
        </w:rPr>
        <w:t xml:space="preserve">employees of </w:t>
      </w:r>
      <w:proofErr w:type="spellStart"/>
      <w:r w:rsidR="001852B3" w:rsidRPr="00DB533C">
        <w:rPr>
          <w:lang w:val="en-US"/>
        </w:rPr>
        <w:t>Yadon</w:t>
      </w:r>
      <w:proofErr w:type="spellEnd"/>
      <w:r w:rsidR="001852B3" w:rsidRPr="00DB533C">
        <w:rPr>
          <w:lang w:val="en-US"/>
        </w:rPr>
        <w:t xml:space="preserve"> </w:t>
      </w:r>
      <w:r w:rsidRPr="00DB533C">
        <w:rPr>
          <w:lang w:val="en-US"/>
        </w:rPr>
        <w:t>a</w:t>
      </w:r>
      <w:r w:rsidR="001852B3" w:rsidRPr="00DB533C">
        <w:rPr>
          <w:lang w:val="en-US"/>
        </w:rPr>
        <w:t xml:space="preserve">nd 628 </w:t>
      </w:r>
      <w:r w:rsidRPr="00DB533C">
        <w:rPr>
          <w:lang w:val="en-US"/>
        </w:rPr>
        <w:t xml:space="preserve">of </w:t>
      </w:r>
      <w:r w:rsidR="001852B3" w:rsidRPr="00DB533C">
        <w:rPr>
          <w:lang w:val="en-US"/>
        </w:rPr>
        <w:t>AWEBA.</w:t>
      </w:r>
    </w:p>
    <w:p w14:paraId="7D444638" w14:textId="77777777" w:rsidR="00E06A19" w:rsidRPr="00DB533C" w:rsidRDefault="00E06A19" w:rsidP="00E50F8F">
      <w:pPr>
        <w:rPr>
          <w:lang w:val="en-US"/>
        </w:rPr>
      </w:pPr>
    </w:p>
    <w:p w14:paraId="3F46C12A" w14:textId="483CF819" w:rsidR="000D496E" w:rsidRPr="00DB533C" w:rsidRDefault="00C646D7" w:rsidP="004B64DD">
      <w:pPr>
        <w:rPr>
          <w:b/>
          <w:lang w:val="en-US"/>
        </w:rPr>
      </w:pPr>
      <w:r w:rsidRPr="00DB533C">
        <w:rPr>
          <w:b/>
          <w:lang w:val="en-US"/>
        </w:rPr>
        <w:t>Equity base remains comfortab</w:t>
      </w:r>
      <w:r w:rsidR="009C147A" w:rsidRPr="00DB533C">
        <w:rPr>
          <w:b/>
          <w:lang w:val="en-US"/>
        </w:rPr>
        <w:t>l</w:t>
      </w:r>
      <w:r w:rsidRPr="00DB533C">
        <w:rPr>
          <w:b/>
          <w:lang w:val="en-US"/>
        </w:rPr>
        <w:t>e</w:t>
      </w:r>
    </w:p>
    <w:p w14:paraId="186D349D" w14:textId="4E17C8AF" w:rsidR="00E06A19" w:rsidRPr="00DB533C" w:rsidRDefault="00C646D7" w:rsidP="00C646D7">
      <w:pPr>
        <w:rPr>
          <w:lang w:val="en-US"/>
        </w:rPr>
      </w:pPr>
      <w:r w:rsidRPr="00DB533C">
        <w:rPr>
          <w:lang w:val="en-US"/>
        </w:rPr>
        <w:t xml:space="preserve">Against the backdrop of its </w:t>
      </w:r>
      <w:r w:rsidR="00A37F3D" w:rsidRPr="00DB533C">
        <w:rPr>
          <w:lang w:val="en-US"/>
        </w:rPr>
        <w:t>positive</w:t>
      </w:r>
      <w:r w:rsidRPr="00DB533C">
        <w:rPr>
          <w:lang w:val="en-US"/>
        </w:rPr>
        <w:t xml:space="preserve"> earnings trend,</w:t>
      </w:r>
      <w:r w:rsidR="00F002F6" w:rsidRPr="00DB533C">
        <w:rPr>
          <w:lang w:val="en-US"/>
        </w:rPr>
        <w:t xml:space="preserve"> </w:t>
      </w:r>
      <w:r w:rsidR="00A37F3D" w:rsidRPr="00DB533C">
        <w:rPr>
          <w:lang w:val="en-US"/>
        </w:rPr>
        <w:t>Schuler</w:t>
      </w:r>
      <w:r w:rsidRPr="00DB533C">
        <w:rPr>
          <w:lang w:val="en-US"/>
        </w:rPr>
        <w:t xml:space="preserve"> – in which the Austrian </w:t>
      </w:r>
      <w:r w:rsidR="00A37F3D" w:rsidRPr="00DB533C">
        <w:rPr>
          <w:lang w:val="en-US"/>
        </w:rPr>
        <w:t>ANDRITZ Gr</w:t>
      </w:r>
      <w:r w:rsidRPr="00DB533C">
        <w:rPr>
          <w:lang w:val="en-US"/>
        </w:rPr>
        <w:t>o</w:t>
      </w:r>
      <w:r w:rsidR="00A37F3D" w:rsidRPr="00DB533C">
        <w:rPr>
          <w:lang w:val="en-US"/>
        </w:rPr>
        <w:t>up</w:t>
      </w:r>
      <w:r w:rsidRPr="00DB533C">
        <w:rPr>
          <w:lang w:val="en-US"/>
        </w:rPr>
        <w:t xml:space="preserve"> holds 95 percent of capital stock – was able to make further improvements to its c</w:t>
      </w:r>
      <w:r w:rsidR="00045F35" w:rsidRPr="00DB533C">
        <w:rPr>
          <w:lang w:val="en-US"/>
        </w:rPr>
        <w:t>apital</w:t>
      </w:r>
      <w:r w:rsidRPr="00DB533C">
        <w:rPr>
          <w:lang w:val="en-US"/>
        </w:rPr>
        <w:t xml:space="preserve"> base</w:t>
      </w:r>
      <w:r w:rsidR="003F73D0" w:rsidRPr="00DB533C">
        <w:rPr>
          <w:lang w:val="en-US"/>
        </w:rPr>
        <w:t xml:space="preserve">. </w:t>
      </w:r>
      <w:r w:rsidR="00D650A6" w:rsidRPr="00DB533C">
        <w:rPr>
          <w:lang w:val="en-US"/>
        </w:rPr>
        <w:t>Shareholders’ e</w:t>
      </w:r>
      <w:r w:rsidRPr="00DB533C">
        <w:rPr>
          <w:lang w:val="en-US"/>
        </w:rPr>
        <w:t>quity rose to € </w:t>
      </w:r>
      <w:r w:rsidR="009C147A" w:rsidRPr="00DB533C">
        <w:rPr>
          <w:lang w:val="en-US"/>
        </w:rPr>
        <w:t>438</w:t>
      </w:r>
      <w:r w:rsidR="00960B80" w:rsidRPr="00DB533C">
        <w:rPr>
          <w:lang w:val="en-US"/>
        </w:rPr>
        <w:t>.</w:t>
      </w:r>
      <w:r w:rsidR="009C147A" w:rsidRPr="00DB533C">
        <w:rPr>
          <w:lang w:val="en-US"/>
        </w:rPr>
        <w:t>4</w:t>
      </w:r>
      <w:r w:rsidR="007603ED" w:rsidRPr="00DB533C">
        <w:rPr>
          <w:lang w:val="en-US"/>
        </w:rPr>
        <w:t xml:space="preserve"> (</w:t>
      </w:r>
      <w:r w:rsidRPr="00DB533C">
        <w:rPr>
          <w:lang w:val="en-US"/>
        </w:rPr>
        <w:t>€ </w:t>
      </w:r>
      <w:r w:rsidR="00BC3523" w:rsidRPr="00DB533C">
        <w:rPr>
          <w:lang w:val="en-US"/>
        </w:rPr>
        <w:t>369</w:t>
      </w:r>
      <w:r w:rsidR="00960B80" w:rsidRPr="00DB533C">
        <w:rPr>
          <w:lang w:val="en-US"/>
        </w:rPr>
        <w:t>.</w:t>
      </w:r>
      <w:r w:rsidR="00BC3523" w:rsidRPr="00DB533C">
        <w:rPr>
          <w:lang w:val="en-US"/>
        </w:rPr>
        <w:t>1</w:t>
      </w:r>
      <w:r w:rsidR="007603ED" w:rsidRPr="00DB533C">
        <w:rPr>
          <w:lang w:val="en-US"/>
        </w:rPr>
        <w:t xml:space="preserve">) </w:t>
      </w:r>
      <w:r w:rsidR="00960B80" w:rsidRPr="00DB533C">
        <w:rPr>
          <w:lang w:val="en-US"/>
        </w:rPr>
        <w:t>million</w:t>
      </w:r>
      <w:r w:rsidR="007603ED" w:rsidRPr="00DB533C">
        <w:rPr>
          <w:lang w:val="en-US"/>
        </w:rPr>
        <w:t xml:space="preserve">. </w:t>
      </w:r>
      <w:r w:rsidRPr="00DB533C">
        <w:rPr>
          <w:lang w:val="en-US"/>
        </w:rPr>
        <w:t xml:space="preserve">As the balance sheet total grew more strongly due to the acquisition of </w:t>
      </w:r>
      <w:proofErr w:type="spellStart"/>
      <w:r w:rsidRPr="00DB533C">
        <w:rPr>
          <w:lang w:val="en-US"/>
        </w:rPr>
        <w:t>Yadon</w:t>
      </w:r>
      <w:proofErr w:type="spellEnd"/>
      <w:r w:rsidRPr="00DB533C">
        <w:rPr>
          <w:lang w:val="en-US"/>
        </w:rPr>
        <w:t xml:space="preserve"> and AWEBA, the equity ratio fell slightly to 32.2 (34.3) percent. However, this is still the second-highest level since the IPO in 1999. “Our capital and liquidity resources provide the necessary stable foundation for us to finance further organi</w:t>
      </w:r>
      <w:r w:rsidR="00E06A19" w:rsidRPr="00DB533C">
        <w:rPr>
          <w:lang w:val="en-US"/>
        </w:rPr>
        <w:t>c</w:t>
      </w:r>
      <w:r w:rsidRPr="00DB533C">
        <w:rPr>
          <w:lang w:val="en-US"/>
        </w:rPr>
        <w:t xml:space="preserve"> a</w:t>
      </w:r>
      <w:r w:rsidR="00E06A19" w:rsidRPr="00DB533C">
        <w:rPr>
          <w:lang w:val="en-US"/>
        </w:rPr>
        <w:t>nd extern</w:t>
      </w:r>
      <w:r w:rsidRPr="00DB533C">
        <w:rPr>
          <w:lang w:val="en-US"/>
        </w:rPr>
        <w:t>al growth</w:t>
      </w:r>
      <w:r w:rsidR="00E06A19" w:rsidRPr="00DB533C">
        <w:rPr>
          <w:lang w:val="en-US"/>
        </w:rPr>
        <w:t xml:space="preserve"> </w:t>
      </w:r>
      <w:r w:rsidRPr="00DB533C">
        <w:rPr>
          <w:lang w:val="en-US"/>
        </w:rPr>
        <w:t xml:space="preserve">as required,” stated CFO </w:t>
      </w:r>
      <w:r w:rsidR="00E06A19" w:rsidRPr="00DB533C">
        <w:rPr>
          <w:lang w:val="en-US"/>
        </w:rPr>
        <w:t xml:space="preserve">Norbert </w:t>
      </w:r>
      <w:proofErr w:type="spellStart"/>
      <w:r w:rsidR="00E06A19" w:rsidRPr="00DB533C">
        <w:rPr>
          <w:lang w:val="en-US"/>
        </w:rPr>
        <w:t>Broger</w:t>
      </w:r>
      <w:proofErr w:type="spellEnd"/>
      <w:r w:rsidR="00E06A19" w:rsidRPr="00DB533C">
        <w:rPr>
          <w:lang w:val="en-US"/>
        </w:rPr>
        <w:t>.</w:t>
      </w:r>
    </w:p>
    <w:p w14:paraId="30882209" w14:textId="77777777" w:rsidR="00E06A19" w:rsidRPr="00DB533C" w:rsidRDefault="00E06A19" w:rsidP="00E06A19">
      <w:pPr>
        <w:rPr>
          <w:lang w:val="en-US"/>
        </w:rPr>
      </w:pPr>
    </w:p>
    <w:p w14:paraId="718E732E" w14:textId="0452C8D1" w:rsidR="00FF2727" w:rsidRPr="00DB533C" w:rsidRDefault="0020514D" w:rsidP="004B64DD">
      <w:pPr>
        <w:rPr>
          <w:lang w:val="en-US"/>
        </w:rPr>
      </w:pPr>
      <w:r w:rsidRPr="00DB533C">
        <w:rPr>
          <w:lang w:val="en-US"/>
        </w:rPr>
        <w:t xml:space="preserve">Schuler </w:t>
      </w:r>
      <w:r w:rsidR="00C646D7" w:rsidRPr="00DB533C">
        <w:rPr>
          <w:lang w:val="en-US"/>
        </w:rPr>
        <w:t>raised capital expenditures once again to € </w:t>
      </w:r>
      <w:r w:rsidR="00E06A19" w:rsidRPr="00DB533C">
        <w:rPr>
          <w:lang w:val="en-US"/>
        </w:rPr>
        <w:t>45</w:t>
      </w:r>
      <w:r w:rsidR="00960B80" w:rsidRPr="00DB533C">
        <w:rPr>
          <w:lang w:val="en-US"/>
        </w:rPr>
        <w:t>.</w:t>
      </w:r>
      <w:r w:rsidR="00E06A19" w:rsidRPr="00DB533C">
        <w:rPr>
          <w:lang w:val="en-US"/>
        </w:rPr>
        <w:t>8</w:t>
      </w:r>
      <w:r w:rsidRPr="00DB533C">
        <w:rPr>
          <w:lang w:val="en-US"/>
        </w:rPr>
        <w:t xml:space="preserve"> (</w:t>
      </w:r>
      <w:r w:rsidR="00C646D7" w:rsidRPr="00DB533C">
        <w:rPr>
          <w:lang w:val="en-US"/>
        </w:rPr>
        <w:t>€ </w:t>
      </w:r>
      <w:r w:rsidRPr="00DB533C">
        <w:rPr>
          <w:lang w:val="en-US"/>
        </w:rPr>
        <w:t>38</w:t>
      </w:r>
      <w:r w:rsidR="00960B80" w:rsidRPr="00DB533C">
        <w:rPr>
          <w:lang w:val="en-US"/>
        </w:rPr>
        <w:t>.</w:t>
      </w:r>
      <w:r w:rsidRPr="00DB533C">
        <w:rPr>
          <w:lang w:val="en-US"/>
        </w:rPr>
        <w:t xml:space="preserve">2) </w:t>
      </w:r>
      <w:r w:rsidR="00960B80" w:rsidRPr="00DB533C">
        <w:rPr>
          <w:lang w:val="en-US"/>
        </w:rPr>
        <w:t>million</w:t>
      </w:r>
      <w:r w:rsidR="00C646D7" w:rsidRPr="00DB533C">
        <w:rPr>
          <w:lang w:val="en-US"/>
        </w:rPr>
        <w:t xml:space="preserve"> in 2016</w:t>
      </w:r>
      <w:r w:rsidR="00E06A19" w:rsidRPr="00DB533C">
        <w:rPr>
          <w:lang w:val="en-US"/>
        </w:rPr>
        <w:t>.</w:t>
      </w:r>
      <w:r w:rsidRPr="00DB533C">
        <w:rPr>
          <w:lang w:val="en-US"/>
        </w:rPr>
        <w:t xml:space="preserve"> </w:t>
      </w:r>
      <w:r w:rsidR="00C646D7" w:rsidRPr="00DB533C">
        <w:rPr>
          <w:lang w:val="en-US"/>
        </w:rPr>
        <w:t xml:space="preserve">The </w:t>
      </w:r>
      <w:r w:rsidR="00D650A6" w:rsidRPr="00DB533C">
        <w:rPr>
          <w:lang w:val="en-US"/>
        </w:rPr>
        <w:t>soon-to-be-completed</w:t>
      </w:r>
      <w:r w:rsidR="00C646D7" w:rsidRPr="00DB533C">
        <w:rPr>
          <w:lang w:val="en-US"/>
        </w:rPr>
        <w:t xml:space="preserve"> technological center in </w:t>
      </w:r>
      <w:proofErr w:type="spellStart"/>
      <w:r w:rsidR="00C646D7" w:rsidRPr="00DB533C">
        <w:rPr>
          <w:lang w:val="en-US"/>
        </w:rPr>
        <w:t>Göppingen</w:t>
      </w:r>
      <w:proofErr w:type="spellEnd"/>
      <w:r w:rsidR="00C646D7" w:rsidRPr="00DB533C">
        <w:rPr>
          <w:lang w:val="en-US"/>
        </w:rPr>
        <w:t>, the Schuler Innovation Tower, accounted for around half of this amount.</w:t>
      </w:r>
      <w:r w:rsidR="00332940" w:rsidRPr="00DB533C">
        <w:rPr>
          <w:lang w:val="en-US"/>
        </w:rPr>
        <w:t xml:space="preserve"> </w:t>
      </w:r>
      <w:r w:rsidR="00C646D7" w:rsidRPr="00DB533C">
        <w:rPr>
          <w:lang w:val="en-US"/>
        </w:rPr>
        <w:t>Further focus areas for investment were IT and digitization</w:t>
      </w:r>
      <w:r w:rsidR="00332940" w:rsidRPr="00DB533C">
        <w:rPr>
          <w:lang w:val="en-US"/>
        </w:rPr>
        <w:t>.</w:t>
      </w:r>
      <w:r w:rsidR="00045F35" w:rsidRPr="00DB533C">
        <w:rPr>
          <w:lang w:val="en-US"/>
        </w:rPr>
        <w:t xml:space="preserve"> </w:t>
      </w:r>
      <w:r w:rsidR="00C646D7" w:rsidRPr="00DB533C">
        <w:rPr>
          <w:lang w:val="en-US"/>
        </w:rPr>
        <w:t>At € </w:t>
      </w:r>
      <w:r w:rsidR="00737AC9" w:rsidRPr="00DB533C">
        <w:rPr>
          <w:lang w:val="en-US"/>
        </w:rPr>
        <w:t>116</w:t>
      </w:r>
      <w:r w:rsidR="00960B80" w:rsidRPr="00DB533C">
        <w:rPr>
          <w:lang w:val="en-US"/>
        </w:rPr>
        <w:t>.</w:t>
      </w:r>
      <w:r w:rsidR="00EA1C19">
        <w:rPr>
          <w:lang w:val="en-US"/>
        </w:rPr>
        <w:t>3</w:t>
      </w:r>
      <w:r w:rsidR="00E76694" w:rsidRPr="00DB533C">
        <w:rPr>
          <w:lang w:val="en-US"/>
        </w:rPr>
        <w:t xml:space="preserve"> (</w:t>
      </w:r>
      <w:r w:rsidR="00C646D7" w:rsidRPr="00DB533C">
        <w:rPr>
          <w:lang w:val="en-US"/>
        </w:rPr>
        <w:t>€ </w:t>
      </w:r>
      <w:r w:rsidR="00E76694" w:rsidRPr="00DB533C">
        <w:rPr>
          <w:lang w:val="en-US"/>
        </w:rPr>
        <w:t>281</w:t>
      </w:r>
      <w:r w:rsidR="00960B80" w:rsidRPr="00DB533C">
        <w:rPr>
          <w:lang w:val="en-US"/>
        </w:rPr>
        <w:t>.</w:t>
      </w:r>
      <w:r w:rsidR="00EA1C19">
        <w:rPr>
          <w:lang w:val="en-US"/>
        </w:rPr>
        <w:t>3</w:t>
      </w:r>
      <w:r w:rsidR="00E76694" w:rsidRPr="00DB533C">
        <w:rPr>
          <w:lang w:val="en-US"/>
        </w:rPr>
        <w:t xml:space="preserve">) </w:t>
      </w:r>
      <w:r w:rsidR="00960B80" w:rsidRPr="00DB533C">
        <w:rPr>
          <w:lang w:val="en-US"/>
        </w:rPr>
        <w:t>million</w:t>
      </w:r>
      <w:r w:rsidR="00C646D7" w:rsidRPr="00DB533C">
        <w:rPr>
          <w:lang w:val="en-US"/>
        </w:rPr>
        <w:t>, net financial status</w:t>
      </w:r>
      <w:r w:rsidR="00E76694" w:rsidRPr="00DB533C">
        <w:rPr>
          <w:lang w:val="en-US"/>
        </w:rPr>
        <w:t xml:space="preserve"> </w:t>
      </w:r>
      <w:r w:rsidR="00C646D7" w:rsidRPr="00DB533C">
        <w:rPr>
          <w:lang w:val="en-US"/>
        </w:rPr>
        <w:t>(liquid funds less financial debt) was well below the prior-year figure</w:t>
      </w:r>
      <w:r w:rsidR="00737AC9" w:rsidRPr="00DB533C">
        <w:rPr>
          <w:lang w:val="en-US"/>
        </w:rPr>
        <w:t xml:space="preserve">. </w:t>
      </w:r>
      <w:r w:rsidR="00C646D7" w:rsidRPr="00DB533C">
        <w:rPr>
          <w:lang w:val="en-US"/>
        </w:rPr>
        <w:t xml:space="preserve">This is due to cash outflows for the successful acquisition of </w:t>
      </w:r>
      <w:r w:rsidR="00737AC9" w:rsidRPr="00DB533C">
        <w:rPr>
          <w:lang w:val="en-US"/>
        </w:rPr>
        <w:t xml:space="preserve">AWEBA </w:t>
      </w:r>
      <w:r w:rsidR="00C646D7" w:rsidRPr="00DB533C">
        <w:rPr>
          <w:lang w:val="en-US"/>
        </w:rPr>
        <w:t>a</w:t>
      </w:r>
      <w:r w:rsidR="00737AC9" w:rsidRPr="00DB533C">
        <w:rPr>
          <w:lang w:val="en-US"/>
        </w:rPr>
        <w:t xml:space="preserve">nd </w:t>
      </w:r>
      <w:proofErr w:type="spellStart"/>
      <w:r w:rsidR="00737AC9" w:rsidRPr="00DB533C">
        <w:rPr>
          <w:lang w:val="en-US"/>
        </w:rPr>
        <w:t>Yadon</w:t>
      </w:r>
      <w:proofErr w:type="spellEnd"/>
      <w:r w:rsidR="00E76694" w:rsidRPr="00DB533C">
        <w:rPr>
          <w:lang w:val="en-US"/>
        </w:rPr>
        <w:t xml:space="preserve">. </w:t>
      </w:r>
    </w:p>
    <w:p w14:paraId="00E5A998" w14:textId="77777777" w:rsidR="0020514D" w:rsidRPr="00DB533C" w:rsidRDefault="0020514D" w:rsidP="004B64DD">
      <w:pPr>
        <w:rPr>
          <w:lang w:val="en-US"/>
        </w:rPr>
      </w:pPr>
    </w:p>
    <w:p w14:paraId="05A7E5B1" w14:textId="77777777" w:rsidR="0031052B" w:rsidRPr="00DB533C" w:rsidRDefault="0031052B" w:rsidP="0031052B">
      <w:pPr>
        <w:rPr>
          <w:lang w:val="en-US"/>
        </w:rPr>
      </w:pPr>
    </w:p>
    <w:p w14:paraId="07A530B7" w14:textId="77777777" w:rsidR="00F405D2" w:rsidRDefault="00F405D2">
      <w:pPr>
        <w:spacing w:line="240" w:lineRule="auto"/>
        <w:rPr>
          <w:b/>
          <w:lang w:val="en-US"/>
        </w:rPr>
      </w:pPr>
      <w:r>
        <w:rPr>
          <w:b/>
          <w:lang w:val="en-US"/>
        </w:rPr>
        <w:br w:type="page"/>
      </w:r>
    </w:p>
    <w:p w14:paraId="152376FE" w14:textId="4BDA1003" w:rsidR="00DF4D75" w:rsidRPr="00DB533C" w:rsidRDefault="00C646D7" w:rsidP="00DF4D75">
      <w:pPr>
        <w:rPr>
          <w:lang w:val="en-US"/>
        </w:rPr>
      </w:pPr>
      <w:r w:rsidRPr="00DB533C">
        <w:rPr>
          <w:b/>
          <w:lang w:val="en-US"/>
        </w:rPr>
        <w:lastRenderedPageBreak/>
        <w:t>Schuler Group at a glance (IFRS</w:t>
      </w:r>
      <w:r w:rsidR="00DF4D75" w:rsidRPr="00DB533C">
        <w:rPr>
          <w:b/>
          <w:lang w:val="en-US"/>
        </w:rPr>
        <w:t>)</w:t>
      </w:r>
    </w:p>
    <w:tbl>
      <w:tblPr>
        <w:tblW w:w="7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992"/>
        <w:gridCol w:w="1276"/>
        <w:gridCol w:w="1417"/>
      </w:tblGrid>
      <w:tr w:rsidR="00726B8B" w:rsidRPr="00DB533C" w14:paraId="562B1FCB" w14:textId="77777777" w:rsidTr="00C646D7">
        <w:tc>
          <w:tcPr>
            <w:tcW w:w="3652" w:type="dxa"/>
            <w:shd w:val="clear" w:color="auto" w:fill="auto"/>
          </w:tcPr>
          <w:p w14:paraId="0C98BC63" w14:textId="77777777" w:rsidR="00726B8B" w:rsidRPr="00DB533C" w:rsidRDefault="00726B8B" w:rsidP="00B077EE">
            <w:pPr>
              <w:rPr>
                <w:lang w:val="en-US"/>
              </w:rPr>
            </w:pPr>
          </w:p>
        </w:tc>
        <w:tc>
          <w:tcPr>
            <w:tcW w:w="992" w:type="dxa"/>
            <w:shd w:val="clear" w:color="auto" w:fill="auto"/>
          </w:tcPr>
          <w:p w14:paraId="5A7FC875" w14:textId="77777777" w:rsidR="00726B8B" w:rsidRPr="00DB533C" w:rsidRDefault="00726B8B" w:rsidP="00B077EE">
            <w:pPr>
              <w:rPr>
                <w:lang w:val="en-US"/>
              </w:rPr>
            </w:pPr>
          </w:p>
        </w:tc>
        <w:tc>
          <w:tcPr>
            <w:tcW w:w="1276" w:type="dxa"/>
          </w:tcPr>
          <w:p w14:paraId="733A2020" w14:textId="77777777" w:rsidR="00726B8B" w:rsidRPr="00DB533C" w:rsidRDefault="00726B8B" w:rsidP="00B077EE">
            <w:pPr>
              <w:rPr>
                <w:b/>
                <w:lang w:val="en-US"/>
              </w:rPr>
            </w:pPr>
            <w:r w:rsidRPr="00DB533C">
              <w:rPr>
                <w:b/>
                <w:lang w:val="en-US"/>
              </w:rPr>
              <w:t>2016</w:t>
            </w:r>
          </w:p>
        </w:tc>
        <w:tc>
          <w:tcPr>
            <w:tcW w:w="1417" w:type="dxa"/>
            <w:shd w:val="clear" w:color="auto" w:fill="auto"/>
          </w:tcPr>
          <w:p w14:paraId="17EF6610" w14:textId="77777777" w:rsidR="00726B8B" w:rsidRPr="00DB533C" w:rsidRDefault="00726B8B" w:rsidP="00B077EE">
            <w:pPr>
              <w:rPr>
                <w:lang w:val="en-US"/>
              </w:rPr>
            </w:pPr>
            <w:r w:rsidRPr="00DB533C">
              <w:rPr>
                <w:lang w:val="en-US"/>
              </w:rPr>
              <w:t>2015</w:t>
            </w:r>
          </w:p>
        </w:tc>
      </w:tr>
      <w:tr w:rsidR="00C646D7" w:rsidRPr="00DB533C" w14:paraId="0A8389DF" w14:textId="77777777" w:rsidTr="00C646D7">
        <w:tc>
          <w:tcPr>
            <w:tcW w:w="3652" w:type="dxa"/>
            <w:shd w:val="clear" w:color="auto" w:fill="auto"/>
          </w:tcPr>
          <w:p w14:paraId="4F6FA07D" w14:textId="1C66C8ED" w:rsidR="00C646D7" w:rsidRPr="00DB533C" w:rsidRDefault="00C646D7" w:rsidP="00B077EE">
            <w:pPr>
              <w:rPr>
                <w:lang w:val="en-US"/>
              </w:rPr>
            </w:pPr>
            <w:r w:rsidRPr="00DB533C">
              <w:rPr>
                <w:lang w:val="en-US"/>
              </w:rPr>
              <w:t>Sales</w:t>
            </w:r>
          </w:p>
        </w:tc>
        <w:tc>
          <w:tcPr>
            <w:tcW w:w="992" w:type="dxa"/>
            <w:shd w:val="clear" w:color="auto" w:fill="auto"/>
          </w:tcPr>
          <w:p w14:paraId="086CAAEA" w14:textId="7CC83954" w:rsidR="00C646D7" w:rsidRPr="00DB533C" w:rsidRDefault="00C646D7" w:rsidP="00B077EE">
            <w:pPr>
              <w:rPr>
                <w:lang w:val="en-US"/>
              </w:rPr>
            </w:pPr>
            <w:r w:rsidRPr="00DB533C">
              <w:rPr>
                <w:rFonts w:asciiTheme="minorHAnsi" w:hAnsiTheme="minorHAnsi"/>
                <w:lang w:val="en-US"/>
              </w:rPr>
              <w:t>€ million</w:t>
            </w:r>
          </w:p>
        </w:tc>
        <w:tc>
          <w:tcPr>
            <w:tcW w:w="1276" w:type="dxa"/>
          </w:tcPr>
          <w:p w14:paraId="4BE57BC5" w14:textId="362E2770" w:rsidR="00C646D7" w:rsidRPr="00DB533C" w:rsidRDefault="00C646D7" w:rsidP="00B077EE">
            <w:pPr>
              <w:rPr>
                <w:b/>
                <w:lang w:val="en-US"/>
              </w:rPr>
            </w:pPr>
            <w:r w:rsidRPr="00DB533C">
              <w:rPr>
                <w:b/>
                <w:lang w:val="en-US"/>
              </w:rPr>
              <w:t>1,174.2</w:t>
            </w:r>
          </w:p>
        </w:tc>
        <w:tc>
          <w:tcPr>
            <w:tcW w:w="1417" w:type="dxa"/>
            <w:shd w:val="clear" w:color="auto" w:fill="auto"/>
            <w:vAlign w:val="center"/>
          </w:tcPr>
          <w:p w14:paraId="3DCA0736" w14:textId="29144045" w:rsidR="00C646D7" w:rsidRPr="00DB533C" w:rsidRDefault="00C646D7" w:rsidP="00B077EE">
            <w:pPr>
              <w:rPr>
                <w:lang w:val="en-US"/>
              </w:rPr>
            </w:pPr>
            <w:r w:rsidRPr="00DB533C">
              <w:rPr>
                <w:lang w:val="en-US"/>
              </w:rPr>
              <w:t>1,200.0</w:t>
            </w:r>
          </w:p>
        </w:tc>
      </w:tr>
      <w:tr w:rsidR="00C646D7" w:rsidRPr="00DB533C" w14:paraId="1482E194" w14:textId="77777777" w:rsidTr="00C646D7">
        <w:tc>
          <w:tcPr>
            <w:tcW w:w="3652" w:type="dxa"/>
            <w:shd w:val="clear" w:color="auto" w:fill="auto"/>
          </w:tcPr>
          <w:p w14:paraId="734CEF06" w14:textId="0ABE757B" w:rsidR="00C646D7" w:rsidRPr="00DB533C" w:rsidRDefault="00C646D7" w:rsidP="00B077EE">
            <w:pPr>
              <w:rPr>
                <w:lang w:val="en-US"/>
              </w:rPr>
            </w:pPr>
            <w:r w:rsidRPr="00DB533C">
              <w:rPr>
                <w:lang w:val="en-US"/>
              </w:rPr>
              <w:t>New orders</w:t>
            </w:r>
          </w:p>
        </w:tc>
        <w:tc>
          <w:tcPr>
            <w:tcW w:w="992" w:type="dxa"/>
            <w:shd w:val="clear" w:color="auto" w:fill="auto"/>
          </w:tcPr>
          <w:p w14:paraId="697AB02A" w14:textId="0F5B421D" w:rsidR="00C646D7" w:rsidRPr="00DB533C" w:rsidRDefault="00C646D7" w:rsidP="00B077EE">
            <w:pPr>
              <w:rPr>
                <w:lang w:val="en-US"/>
              </w:rPr>
            </w:pPr>
            <w:r w:rsidRPr="00DB533C">
              <w:rPr>
                <w:rFonts w:asciiTheme="minorHAnsi" w:hAnsiTheme="minorHAnsi"/>
                <w:lang w:val="en-US"/>
              </w:rPr>
              <w:t>€ million</w:t>
            </w:r>
          </w:p>
        </w:tc>
        <w:tc>
          <w:tcPr>
            <w:tcW w:w="1276" w:type="dxa"/>
          </w:tcPr>
          <w:p w14:paraId="22C5262F" w14:textId="10E466A0" w:rsidR="00C646D7" w:rsidRPr="00DB533C" w:rsidRDefault="00C646D7" w:rsidP="00B077EE">
            <w:pPr>
              <w:rPr>
                <w:b/>
                <w:lang w:val="en-US"/>
              </w:rPr>
            </w:pPr>
            <w:r w:rsidRPr="00DB533C">
              <w:rPr>
                <w:b/>
                <w:lang w:val="en-US"/>
              </w:rPr>
              <w:t>1,199.5</w:t>
            </w:r>
          </w:p>
        </w:tc>
        <w:tc>
          <w:tcPr>
            <w:tcW w:w="1417" w:type="dxa"/>
            <w:shd w:val="clear" w:color="auto" w:fill="auto"/>
            <w:vAlign w:val="center"/>
          </w:tcPr>
          <w:p w14:paraId="00569446" w14:textId="528A0383" w:rsidR="00C646D7" w:rsidRPr="00DB533C" w:rsidRDefault="00C646D7" w:rsidP="00B077EE">
            <w:pPr>
              <w:rPr>
                <w:lang w:val="en-US"/>
              </w:rPr>
            </w:pPr>
            <w:r w:rsidRPr="00DB533C">
              <w:rPr>
                <w:lang w:val="en-US"/>
              </w:rPr>
              <w:t>1,015.7</w:t>
            </w:r>
          </w:p>
        </w:tc>
      </w:tr>
      <w:tr w:rsidR="00C646D7" w:rsidRPr="00DB533C" w14:paraId="610E4F6D" w14:textId="77777777" w:rsidTr="00C646D7">
        <w:tc>
          <w:tcPr>
            <w:tcW w:w="3652" w:type="dxa"/>
            <w:shd w:val="clear" w:color="auto" w:fill="auto"/>
          </w:tcPr>
          <w:p w14:paraId="7C149B51" w14:textId="6E476BCF" w:rsidR="00C646D7" w:rsidRPr="00DB533C" w:rsidRDefault="00C646D7" w:rsidP="00B077EE">
            <w:pPr>
              <w:rPr>
                <w:lang w:val="en-US"/>
              </w:rPr>
            </w:pPr>
            <w:r w:rsidRPr="00DB533C">
              <w:rPr>
                <w:lang w:val="en-US"/>
              </w:rPr>
              <w:t>Order backlog</w:t>
            </w:r>
          </w:p>
        </w:tc>
        <w:tc>
          <w:tcPr>
            <w:tcW w:w="992" w:type="dxa"/>
            <w:shd w:val="clear" w:color="auto" w:fill="auto"/>
          </w:tcPr>
          <w:p w14:paraId="3D97759B" w14:textId="2766F03C" w:rsidR="00C646D7" w:rsidRPr="00DB533C" w:rsidRDefault="00C646D7" w:rsidP="00B077EE">
            <w:pPr>
              <w:rPr>
                <w:lang w:val="en-US"/>
              </w:rPr>
            </w:pPr>
            <w:r w:rsidRPr="00DB533C">
              <w:rPr>
                <w:rFonts w:asciiTheme="minorHAnsi" w:hAnsiTheme="minorHAnsi"/>
                <w:lang w:val="en-US"/>
              </w:rPr>
              <w:t>€ million</w:t>
            </w:r>
          </w:p>
        </w:tc>
        <w:tc>
          <w:tcPr>
            <w:tcW w:w="1276" w:type="dxa"/>
          </w:tcPr>
          <w:p w14:paraId="76879F09" w14:textId="644885D1" w:rsidR="00C646D7" w:rsidRPr="00DB533C" w:rsidRDefault="00C646D7" w:rsidP="00B077EE">
            <w:pPr>
              <w:rPr>
                <w:b/>
                <w:lang w:val="en-US"/>
              </w:rPr>
            </w:pPr>
            <w:r w:rsidRPr="00DB533C">
              <w:rPr>
                <w:b/>
                <w:lang w:val="en-US"/>
              </w:rPr>
              <w:t>1,013.1</w:t>
            </w:r>
          </w:p>
        </w:tc>
        <w:tc>
          <w:tcPr>
            <w:tcW w:w="1417" w:type="dxa"/>
            <w:shd w:val="clear" w:color="auto" w:fill="auto"/>
            <w:vAlign w:val="center"/>
          </w:tcPr>
          <w:p w14:paraId="4BED1368" w14:textId="1381152E" w:rsidR="00C646D7" w:rsidRPr="00DB533C" w:rsidRDefault="00C646D7" w:rsidP="00B077EE">
            <w:pPr>
              <w:rPr>
                <w:lang w:val="en-US"/>
              </w:rPr>
            </w:pPr>
            <w:r w:rsidRPr="00DB533C">
              <w:rPr>
                <w:lang w:val="en-US"/>
              </w:rPr>
              <w:t>894.7</w:t>
            </w:r>
          </w:p>
        </w:tc>
      </w:tr>
      <w:tr w:rsidR="00C646D7" w:rsidRPr="00DB533C" w14:paraId="463E4894" w14:textId="77777777" w:rsidTr="00C646D7">
        <w:tc>
          <w:tcPr>
            <w:tcW w:w="3652" w:type="dxa"/>
            <w:shd w:val="clear" w:color="auto" w:fill="auto"/>
            <w:vAlign w:val="center"/>
          </w:tcPr>
          <w:p w14:paraId="7D09EFD8" w14:textId="1BACC842" w:rsidR="00C646D7" w:rsidRPr="00DB533C" w:rsidRDefault="00C646D7" w:rsidP="00C646D7">
            <w:pPr>
              <w:rPr>
                <w:lang w:val="en-US"/>
              </w:rPr>
            </w:pPr>
            <w:r w:rsidRPr="00DB533C">
              <w:rPr>
                <w:lang w:val="en-US"/>
              </w:rPr>
              <w:t>EBITDA (without SI/with SI 2015)</w:t>
            </w:r>
          </w:p>
        </w:tc>
        <w:tc>
          <w:tcPr>
            <w:tcW w:w="992" w:type="dxa"/>
            <w:shd w:val="clear" w:color="auto" w:fill="auto"/>
          </w:tcPr>
          <w:p w14:paraId="01433D37" w14:textId="2B0457CD" w:rsidR="00C646D7" w:rsidRPr="00DB533C" w:rsidRDefault="00C646D7" w:rsidP="00B077EE">
            <w:pPr>
              <w:rPr>
                <w:lang w:val="en-US"/>
              </w:rPr>
            </w:pPr>
            <w:r w:rsidRPr="00DB533C">
              <w:rPr>
                <w:rFonts w:asciiTheme="minorHAnsi" w:hAnsiTheme="minorHAnsi"/>
                <w:lang w:val="en-US"/>
              </w:rPr>
              <w:t>€ million</w:t>
            </w:r>
          </w:p>
        </w:tc>
        <w:tc>
          <w:tcPr>
            <w:tcW w:w="1276" w:type="dxa"/>
          </w:tcPr>
          <w:p w14:paraId="0B901152" w14:textId="205AC699" w:rsidR="00C646D7" w:rsidRPr="00DB533C" w:rsidRDefault="00C646D7" w:rsidP="00B077EE">
            <w:pPr>
              <w:rPr>
                <w:b/>
                <w:lang w:val="en-US"/>
              </w:rPr>
            </w:pPr>
            <w:r w:rsidRPr="00DB533C">
              <w:rPr>
                <w:b/>
                <w:lang w:val="en-US"/>
              </w:rPr>
              <w:t>122.6</w:t>
            </w:r>
          </w:p>
        </w:tc>
        <w:tc>
          <w:tcPr>
            <w:tcW w:w="1417" w:type="dxa"/>
            <w:shd w:val="clear" w:color="auto" w:fill="auto"/>
            <w:vAlign w:val="center"/>
          </w:tcPr>
          <w:p w14:paraId="30F51BF5" w14:textId="77D0E0EB" w:rsidR="00C646D7" w:rsidRPr="00DB533C" w:rsidRDefault="00C646D7" w:rsidP="00B077EE">
            <w:pPr>
              <w:rPr>
                <w:lang w:val="en-US"/>
              </w:rPr>
            </w:pPr>
            <w:r w:rsidRPr="00DB533C">
              <w:rPr>
                <w:lang w:val="en-US"/>
              </w:rPr>
              <w:t>138.8 / 70.9</w:t>
            </w:r>
          </w:p>
        </w:tc>
      </w:tr>
      <w:tr w:rsidR="00C646D7" w:rsidRPr="00DB533C" w14:paraId="1E9F186D" w14:textId="77777777" w:rsidTr="00C646D7">
        <w:tc>
          <w:tcPr>
            <w:tcW w:w="3652" w:type="dxa"/>
            <w:shd w:val="clear" w:color="auto" w:fill="auto"/>
            <w:vAlign w:val="center"/>
          </w:tcPr>
          <w:p w14:paraId="5E732B4B" w14:textId="4141A5E1" w:rsidR="00C646D7" w:rsidRPr="00DB533C" w:rsidRDefault="00C646D7" w:rsidP="00A37F3D">
            <w:pPr>
              <w:rPr>
                <w:lang w:val="en-US"/>
              </w:rPr>
            </w:pPr>
            <w:r w:rsidRPr="00DB533C">
              <w:rPr>
                <w:lang w:val="en-US"/>
              </w:rPr>
              <w:t>EBIT (without SI/with SI 2015)</w:t>
            </w:r>
          </w:p>
        </w:tc>
        <w:tc>
          <w:tcPr>
            <w:tcW w:w="992" w:type="dxa"/>
            <w:shd w:val="clear" w:color="auto" w:fill="auto"/>
          </w:tcPr>
          <w:p w14:paraId="0350D662" w14:textId="503181CD" w:rsidR="00C646D7" w:rsidRPr="00DB533C" w:rsidRDefault="00C646D7" w:rsidP="00B077EE">
            <w:pPr>
              <w:rPr>
                <w:lang w:val="en-US"/>
              </w:rPr>
            </w:pPr>
            <w:r w:rsidRPr="00DB533C">
              <w:rPr>
                <w:rFonts w:asciiTheme="minorHAnsi" w:hAnsiTheme="minorHAnsi"/>
                <w:lang w:val="en-US"/>
              </w:rPr>
              <w:t>€ million</w:t>
            </w:r>
          </w:p>
        </w:tc>
        <w:tc>
          <w:tcPr>
            <w:tcW w:w="1276" w:type="dxa"/>
          </w:tcPr>
          <w:p w14:paraId="4F3D23ED" w14:textId="0A92C6C7" w:rsidR="00C646D7" w:rsidRPr="00DB533C" w:rsidRDefault="00C646D7" w:rsidP="00B077EE">
            <w:pPr>
              <w:rPr>
                <w:b/>
                <w:lang w:val="en-US"/>
              </w:rPr>
            </w:pPr>
            <w:r w:rsidRPr="00DB533C">
              <w:rPr>
                <w:b/>
                <w:lang w:val="en-US"/>
              </w:rPr>
              <w:t>95.4</w:t>
            </w:r>
          </w:p>
        </w:tc>
        <w:tc>
          <w:tcPr>
            <w:tcW w:w="1417" w:type="dxa"/>
            <w:shd w:val="clear" w:color="auto" w:fill="auto"/>
            <w:vAlign w:val="center"/>
          </w:tcPr>
          <w:p w14:paraId="77980906" w14:textId="213A70F0" w:rsidR="00C646D7" w:rsidRPr="00DB533C" w:rsidRDefault="00C646D7" w:rsidP="00B077EE">
            <w:pPr>
              <w:rPr>
                <w:lang w:val="en-US"/>
              </w:rPr>
            </w:pPr>
            <w:r w:rsidRPr="00DB533C">
              <w:rPr>
                <w:lang w:val="en-US"/>
              </w:rPr>
              <w:t>115.7 / 43.1</w:t>
            </w:r>
          </w:p>
        </w:tc>
      </w:tr>
      <w:tr w:rsidR="00C646D7" w:rsidRPr="00DB533C" w14:paraId="7960A623" w14:textId="77777777" w:rsidTr="00C646D7">
        <w:tc>
          <w:tcPr>
            <w:tcW w:w="3652" w:type="dxa"/>
            <w:shd w:val="clear" w:color="auto" w:fill="auto"/>
            <w:vAlign w:val="center"/>
          </w:tcPr>
          <w:p w14:paraId="5878E124" w14:textId="3464E8A0" w:rsidR="00C646D7" w:rsidRPr="00DB533C" w:rsidRDefault="00C646D7" w:rsidP="00A37F3D">
            <w:pPr>
              <w:rPr>
                <w:lang w:val="en-US"/>
              </w:rPr>
            </w:pPr>
            <w:r w:rsidRPr="00DB533C">
              <w:rPr>
                <w:lang w:val="en-US"/>
              </w:rPr>
              <w:t>EBT (without SI/with SI 2015)</w:t>
            </w:r>
          </w:p>
        </w:tc>
        <w:tc>
          <w:tcPr>
            <w:tcW w:w="992" w:type="dxa"/>
            <w:shd w:val="clear" w:color="auto" w:fill="auto"/>
          </w:tcPr>
          <w:p w14:paraId="30621039" w14:textId="34F8F31F" w:rsidR="00C646D7" w:rsidRPr="00DB533C" w:rsidRDefault="00C646D7" w:rsidP="00B077EE">
            <w:pPr>
              <w:rPr>
                <w:lang w:val="en-US"/>
              </w:rPr>
            </w:pPr>
            <w:r w:rsidRPr="00DB533C">
              <w:rPr>
                <w:rFonts w:asciiTheme="minorHAnsi" w:hAnsiTheme="minorHAnsi"/>
                <w:lang w:val="en-US"/>
              </w:rPr>
              <w:t>€ million</w:t>
            </w:r>
          </w:p>
        </w:tc>
        <w:tc>
          <w:tcPr>
            <w:tcW w:w="1276" w:type="dxa"/>
          </w:tcPr>
          <w:p w14:paraId="3D1534FF" w14:textId="042B74B2" w:rsidR="00C646D7" w:rsidRPr="00DB533C" w:rsidRDefault="00C646D7" w:rsidP="00B077EE">
            <w:pPr>
              <w:rPr>
                <w:b/>
                <w:lang w:val="en-US"/>
              </w:rPr>
            </w:pPr>
            <w:r w:rsidRPr="00DB533C">
              <w:rPr>
                <w:b/>
                <w:lang w:val="en-US"/>
              </w:rPr>
              <w:t>95.1</w:t>
            </w:r>
          </w:p>
        </w:tc>
        <w:tc>
          <w:tcPr>
            <w:tcW w:w="1417" w:type="dxa"/>
            <w:shd w:val="clear" w:color="auto" w:fill="auto"/>
            <w:vAlign w:val="center"/>
          </w:tcPr>
          <w:p w14:paraId="719EEFC1" w14:textId="6FD40FEA" w:rsidR="00C646D7" w:rsidRPr="00DB533C" w:rsidRDefault="00C646D7" w:rsidP="00B077EE">
            <w:pPr>
              <w:rPr>
                <w:lang w:val="en-US"/>
              </w:rPr>
            </w:pPr>
            <w:r w:rsidRPr="00DB533C">
              <w:rPr>
                <w:lang w:val="en-US"/>
              </w:rPr>
              <w:t>116.6 / 44.0</w:t>
            </w:r>
          </w:p>
        </w:tc>
      </w:tr>
      <w:tr w:rsidR="00726B8B" w:rsidRPr="00DB533C" w14:paraId="662FE600" w14:textId="77777777" w:rsidTr="00C646D7">
        <w:tc>
          <w:tcPr>
            <w:tcW w:w="3652" w:type="dxa"/>
            <w:shd w:val="clear" w:color="auto" w:fill="auto"/>
            <w:vAlign w:val="center"/>
          </w:tcPr>
          <w:p w14:paraId="0BD283A1" w14:textId="099D8DB0" w:rsidR="00726B8B" w:rsidRPr="00DB533C" w:rsidRDefault="00726B8B" w:rsidP="00D650A6">
            <w:pPr>
              <w:rPr>
                <w:lang w:val="en-US"/>
              </w:rPr>
            </w:pPr>
            <w:r w:rsidRPr="00DB533C">
              <w:rPr>
                <w:lang w:val="en-US"/>
              </w:rPr>
              <w:t>EBITDA</w:t>
            </w:r>
            <w:r w:rsidR="00D650A6" w:rsidRPr="00DB533C">
              <w:rPr>
                <w:lang w:val="en-US"/>
              </w:rPr>
              <w:t xml:space="preserve"> margin</w:t>
            </w:r>
            <w:r w:rsidRPr="00DB533C">
              <w:rPr>
                <w:lang w:val="en-US"/>
              </w:rPr>
              <w:t xml:space="preserve"> (</w:t>
            </w:r>
            <w:r w:rsidR="00C646D7" w:rsidRPr="00DB533C">
              <w:rPr>
                <w:lang w:val="en-US"/>
              </w:rPr>
              <w:t>without SI/with SI 2015</w:t>
            </w:r>
            <w:r w:rsidRPr="00DB533C">
              <w:rPr>
                <w:lang w:val="en-US"/>
              </w:rPr>
              <w:t>)</w:t>
            </w:r>
          </w:p>
        </w:tc>
        <w:tc>
          <w:tcPr>
            <w:tcW w:w="992" w:type="dxa"/>
            <w:shd w:val="clear" w:color="auto" w:fill="auto"/>
            <w:vAlign w:val="center"/>
          </w:tcPr>
          <w:p w14:paraId="26107528" w14:textId="77777777" w:rsidR="00726B8B" w:rsidRPr="00DB533C" w:rsidRDefault="00726B8B" w:rsidP="00077ED1">
            <w:pPr>
              <w:rPr>
                <w:lang w:val="en-US"/>
              </w:rPr>
            </w:pPr>
            <w:r w:rsidRPr="00DB533C">
              <w:rPr>
                <w:lang w:val="en-US"/>
              </w:rPr>
              <w:t>%</w:t>
            </w:r>
          </w:p>
        </w:tc>
        <w:tc>
          <w:tcPr>
            <w:tcW w:w="1276" w:type="dxa"/>
          </w:tcPr>
          <w:p w14:paraId="606B45D0" w14:textId="2925BA13" w:rsidR="00726B8B" w:rsidRPr="00DB533C" w:rsidRDefault="00726B8B" w:rsidP="00077ED1">
            <w:pPr>
              <w:rPr>
                <w:b/>
                <w:lang w:val="en-US"/>
              </w:rPr>
            </w:pPr>
            <w:r w:rsidRPr="00DB533C">
              <w:rPr>
                <w:b/>
                <w:lang w:val="en-US"/>
              </w:rPr>
              <w:t>10</w:t>
            </w:r>
            <w:r w:rsidR="00960B80" w:rsidRPr="00DB533C">
              <w:rPr>
                <w:b/>
                <w:lang w:val="en-US"/>
              </w:rPr>
              <w:t>.</w:t>
            </w:r>
            <w:r w:rsidRPr="00DB533C">
              <w:rPr>
                <w:b/>
                <w:lang w:val="en-US"/>
              </w:rPr>
              <w:t>4</w:t>
            </w:r>
          </w:p>
        </w:tc>
        <w:tc>
          <w:tcPr>
            <w:tcW w:w="1417" w:type="dxa"/>
            <w:shd w:val="clear" w:color="auto" w:fill="auto"/>
            <w:vAlign w:val="center"/>
          </w:tcPr>
          <w:p w14:paraId="0E6224F1" w14:textId="7F0BD522" w:rsidR="00726B8B" w:rsidRPr="00DB533C" w:rsidRDefault="00726B8B" w:rsidP="00077ED1">
            <w:pPr>
              <w:rPr>
                <w:lang w:val="en-US"/>
              </w:rPr>
            </w:pPr>
            <w:r w:rsidRPr="00DB533C">
              <w:rPr>
                <w:lang w:val="en-US"/>
              </w:rPr>
              <w:t>11</w:t>
            </w:r>
            <w:r w:rsidR="00960B80" w:rsidRPr="00DB533C">
              <w:rPr>
                <w:lang w:val="en-US"/>
              </w:rPr>
              <w:t>.</w:t>
            </w:r>
            <w:r w:rsidRPr="00DB533C">
              <w:rPr>
                <w:lang w:val="en-US"/>
              </w:rPr>
              <w:t>6 / 5</w:t>
            </w:r>
            <w:r w:rsidR="00960B80" w:rsidRPr="00DB533C">
              <w:rPr>
                <w:lang w:val="en-US"/>
              </w:rPr>
              <w:t>.</w:t>
            </w:r>
            <w:r w:rsidRPr="00DB533C">
              <w:rPr>
                <w:lang w:val="en-US"/>
              </w:rPr>
              <w:t>9</w:t>
            </w:r>
          </w:p>
        </w:tc>
      </w:tr>
      <w:tr w:rsidR="00C646D7" w:rsidRPr="00DB533C" w14:paraId="42D78645" w14:textId="77777777" w:rsidTr="00C646D7">
        <w:tc>
          <w:tcPr>
            <w:tcW w:w="3652" w:type="dxa"/>
            <w:shd w:val="clear" w:color="auto" w:fill="auto"/>
            <w:vAlign w:val="center"/>
          </w:tcPr>
          <w:p w14:paraId="56976D88" w14:textId="1FEDDADE" w:rsidR="00C646D7" w:rsidRPr="00DB533C" w:rsidRDefault="00C646D7" w:rsidP="00B077EE">
            <w:pPr>
              <w:rPr>
                <w:lang w:val="en-US"/>
              </w:rPr>
            </w:pPr>
            <w:r w:rsidRPr="00DB533C">
              <w:rPr>
                <w:lang w:val="en-US"/>
              </w:rPr>
              <w:t>Group profit</w:t>
            </w:r>
          </w:p>
        </w:tc>
        <w:tc>
          <w:tcPr>
            <w:tcW w:w="992" w:type="dxa"/>
            <w:shd w:val="clear" w:color="auto" w:fill="auto"/>
          </w:tcPr>
          <w:p w14:paraId="0A51EAF4" w14:textId="7B0799D9" w:rsidR="00C646D7" w:rsidRPr="00DB533C" w:rsidRDefault="00C646D7" w:rsidP="00B077EE">
            <w:pPr>
              <w:rPr>
                <w:lang w:val="en-US"/>
              </w:rPr>
            </w:pPr>
            <w:r w:rsidRPr="00DB533C">
              <w:rPr>
                <w:rFonts w:asciiTheme="minorHAnsi" w:hAnsiTheme="minorHAnsi"/>
                <w:lang w:val="en-US"/>
              </w:rPr>
              <w:t>€ million</w:t>
            </w:r>
          </w:p>
        </w:tc>
        <w:tc>
          <w:tcPr>
            <w:tcW w:w="1276" w:type="dxa"/>
          </w:tcPr>
          <w:p w14:paraId="03AF3F60" w14:textId="06B37B11" w:rsidR="00C646D7" w:rsidRPr="00DB533C" w:rsidRDefault="00C646D7" w:rsidP="00B077EE">
            <w:pPr>
              <w:rPr>
                <w:b/>
                <w:lang w:val="en-US"/>
              </w:rPr>
            </w:pPr>
            <w:r w:rsidRPr="00DB533C">
              <w:rPr>
                <w:b/>
                <w:lang w:val="en-US"/>
              </w:rPr>
              <w:t>77.4</w:t>
            </w:r>
          </w:p>
        </w:tc>
        <w:tc>
          <w:tcPr>
            <w:tcW w:w="1417" w:type="dxa"/>
            <w:shd w:val="clear" w:color="auto" w:fill="auto"/>
            <w:vAlign w:val="center"/>
          </w:tcPr>
          <w:p w14:paraId="751F0A35" w14:textId="3A99874D" w:rsidR="00C646D7" w:rsidRPr="00DB533C" w:rsidRDefault="00C646D7" w:rsidP="00B077EE">
            <w:pPr>
              <w:rPr>
                <w:lang w:val="en-US"/>
              </w:rPr>
            </w:pPr>
            <w:r w:rsidRPr="00DB533C">
              <w:rPr>
                <w:lang w:val="en-US"/>
              </w:rPr>
              <w:t>39.3</w:t>
            </w:r>
          </w:p>
        </w:tc>
      </w:tr>
      <w:tr w:rsidR="00C646D7" w:rsidRPr="00DB533C" w14:paraId="3E151C07" w14:textId="77777777" w:rsidTr="00C646D7">
        <w:tc>
          <w:tcPr>
            <w:tcW w:w="3652" w:type="dxa"/>
            <w:shd w:val="clear" w:color="auto" w:fill="auto"/>
            <w:vAlign w:val="center"/>
          </w:tcPr>
          <w:p w14:paraId="6146D803" w14:textId="205AD2E2" w:rsidR="00C646D7" w:rsidRPr="00DB533C" w:rsidRDefault="00C646D7" w:rsidP="00B077EE">
            <w:pPr>
              <w:rPr>
                <w:lang w:val="en-US"/>
              </w:rPr>
            </w:pPr>
            <w:r w:rsidRPr="00DB533C">
              <w:rPr>
                <w:lang w:val="en-US"/>
              </w:rPr>
              <w:t>Total statement of financial positions</w:t>
            </w:r>
          </w:p>
        </w:tc>
        <w:tc>
          <w:tcPr>
            <w:tcW w:w="992" w:type="dxa"/>
            <w:shd w:val="clear" w:color="auto" w:fill="auto"/>
          </w:tcPr>
          <w:p w14:paraId="75D9C7D9" w14:textId="14D7C456" w:rsidR="00C646D7" w:rsidRPr="00DB533C" w:rsidRDefault="00C646D7" w:rsidP="00B077EE">
            <w:pPr>
              <w:rPr>
                <w:lang w:val="en-US"/>
              </w:rPr>
            </w:pPr>
            <w:r w:rsidRPr="00DB533C">
              <w:rPr>
                <w:rFonts w:asciiTheme="minorHAnsi" w:hAnsiTheme="minorHAnsi"/>
                <w:lang w:val="en-US"/>
              </w:rPr>
              <w:t>€ million</w:t>
            </w:r>
          </w:p>
        </w:tc>
        <w:tc>
          <w:tcPr>
            <w:tcW w:w="1276" w:type="dxa"/>
          </w:tcPr>
          <w:p w14:paraId="3ED4CB17" w14:textId="0C4E8AA5" w:rsidR="00C646D7" w:rsidRPr="00DB533C" w:rsidRDefault="00C646D7" w:rsidP="00B077EE">
            <w:pPr>
              <w:rPr>
                <w:b/>
                <w:lang w:val="en-US"/>
              </w:rPr>
            </w:pPr>
            <w:r w:rsidRPr="00DB533C">
              <w:rPr>
                <w:b/>
                <w:lang w:val="en-US"/>
              </w:rPr>
              <w:t>1,361.3</w:t>
            </w:r>
          </w:p>
        </w:tc>
        <w:tc>
          <w:tcPr>
            <w:tcW w:w="1417" w:type="dxa"/>
            <w:shd w:val="clear" w:color="auto" w:fill="auto"/>
            <w:vAlign w:val="center"/>
          </w:tcPr>
          <w:p w14:paraId="0480038E" w14:textId="38718F9E" w:rsidR="00C646D7" w:rsidRPr="00DB533C" w:rsidRDefault="00C646D7" w:rsidP="00B077EE">
            <w:pPr>
              <w:rPr>
                <w:lang w:val="en-US"/>
              </w:rPr>
            </w:pPr>
            <w:r w:rsidRPr="00DB533C">
              <w:rPr>
                <w:lang w:val="en-US"/>
              </w:rPr>
              <w:t>1,074.5</w:t>
            </w:r>
          </w:p>
        </w:tc>
      </w:tr>
      <w:tr w:rsidR="00C646D7" w:rsidRPr="00DB533C" w14:paraId="44223060" w14:textId="77777777" w:rsidTr="005D5A28">
        <w:tc>
          <w:tcPr>
            <w:tcW w:w="3652" w:type="dxa"/>
            <w:shd w:val="clear" w:color="auto" w:fill="auto"/>
          </w:tcPr>
          <w:p w14:paraId="4AE11049" w14:textId="0ACF38B3" w:rsidR="00C646D7" w:rsidRPr="00DB533C" w:rsidRDefault="00C646D7" w:rsidP="00B077EE">
            <w:pPr>
              <w:rPr>
                <w:lang w:val="en-US"/>
              </w:rPr>
            </w:pPr>
            <w:r w:rsidRPr="00DB533C">
              <w:rPr>
                <w:lang w:val="en-US"/>
              </w:rPr>
              <w:t>Shareholders’ equity</w:t>
            </w:r>
          </w:p>
        </w:tc>
        <w:tc>
          <w:tcPr>
            <w:tcW w:w="992" w:type="dxa"/>
            <w:shd w:val="clear" w:color="auto" w:fill="auto"/>
          </w:tcPr>
          <w:p w14:paraId="373A8EE5" w14:textId="23D7D1E6" w:rsidR="00C646D7" w:rsidRPr="00DB533C" w:rsidRDefault="00C646D7" w:rsidP="00B077EE">
            <w:pPr>
              <w:rPr>
                <w:lang w:val="en-US"/>
              </w:rPr>
            </w:pPr>
            <w:r w:rsidRPr="00DB533C">
              <w:rPr>
                <w:rFonts w:asciiTheme="minorHAnsi" w:hAnsiTheme="minorHAnsi"/>
                <w:lang w:val="en-US"/>
              </w:rPr>
              <w:t>€ million</w:t>
            </w:r>
          </w:p>
        </w:tc>
        <w:tc>
          <w:tcPr>
            <w:tcW w:w="1276" w:type="dxa"/>
          </w:tcPr>
          <w:p w14:paraId="5C88C0E1" w14:textId="2C2BEBF3" w:rsidR="00C646D7" w:rsidRPr="00DB533C" w:rsidRDefault="00C646D7" w:rsidP="00B077EE">
            <w:pPr>
              <w:rPr>
                <w:b/>
                <w:lang w:val="en-US"/>
              </w:rPr>
            </w:pPr>
            <w:r w:rsidRPr="00DB533C">
              <w:rPr>
                <w:b/>
                <w:lang w:val="en-US"/>
              </w:rPr>
              <w:t>438.4</w:t>
            </w:r>
          </w:p>
        </w:tc>
        <w:tc>
          <w:tcPr>
            <w:tcW w:w="1417" w:type="dxa"/>
            <w:shd w:val="clear" w:color="auto" w:fill="auto"/>
            <w:vAlign w:val="center"/>
          </w:tcPr>
          <w:p w14:paraId="055C61D7" w14:textId="3774BC56" w:rsidR="00C646D7" w:rsidRPr="00DB533C" w:rsidRDefault="00C646D7" w:rsidP="00B077EE">
            <w:pPr>
              <w:rPr>
                <w:lang w:val="en-US"/>
              </w:rPr>
            </w:pPr>
            <w:r w:rsidRPr="00DB533C">
              <w:rPr>
                <w:lang w:val="en-US"/>
              </w:rPr>
              <w:t>369.1</w:t>
            </w:r>
          </w:p>
        </w:tc>
      </w:tr>
      <w:tr w:rsidR="00C646D7" w:rsidRPr="00DB533C" w14:paraId="48E08B1B" w14:textId="77777777" w:rsidTr="005D5A28">
        <w:tc>
          <w:tcPr>
            <w:tcW w:w="3652" w:type="dxa"/>
            <w:shd w:val="clear" w:color="auto" w:fill="auto"/>
          </w:tcPr>
          <w:p w14:paraId="6EA6A059" w14:textId="57B75C5E" w:rsidR="00C646D7" w:rsidRPr="00DB533C" w:rsidRDefault="00C646D7" w:rsidP="00B077EE">
            <w:pPr>
              <w:rPr>
                <w:lang w:val="en-US"/>
              </w:rPr>
            </w:pPr>
            <w:r w:rsidRPr="00DB533C">
              <w:rPr>
                <w:lang w:val="en-US"/>
              </w:rPr>
              <w:t>Equity ratio</w:t>
            </w:r>
          </w:p>
        </w:tc>
        <w:tc>
          <w:tcPr>
            <w:tcW w:w="992" w:type="dxa"/>
            <w:shd w:val="clear" w:color="auto" w:fill="auto"/>
            <w:vAlign w:val="center"/>
          </w:tcPr>
          <w:p w14:paraId="09626F7F" w14:textId="77777777" w:rsidR="00C646D7" w:rsidRPr="00DB533C" w:rsidRDefault="00C646D7" w:rsidP="00B077EE">
            <w:pPr>
              <w:rPr>
                <w:lang w:val="en-US"/>
              </w:rPr>
            </w:pPr>
            <w:r w:rsidRPr="00DB533C">
              <w:rPr>
                <w:lang w:val="en-US"/>
              </w:rPr>
              <w:t>%</w:t>
            </w:r>
          </w:p>
        </w:tc>
        <w:tc>
          <w:tcPr>
            <w:tcW w:w="1276" w:type="dxa"/>
          </w:tcPr>
          <w:p w14:paraId="205C03AD" w14:textId="41DD0875" w:rsidR="00C646D7" w:rsidRPr="00DB533C" w:rsidRDefault="00C646D7" w:rsidP="00B077EE">
            <w:pPr>
              <w:rPr>
                <w:b/>
                <w:lang w:val="en-US"/>
              </w:rPr>
            </w:pPr>
            <w:r w:rsidRPr="00DB533C">
              <w:rPr>
                <w:b/>
                <w:lang w:val="en-US"/>
              </w:rPr>
              <w:t>32.2</w:t>
            </w:r>
          </w:p>
        </w:tc>
        <w:tc>
          <w:tcPr>
            <w:tcW w:w="1417" w:type="dxa"/>
            <w:shd w:val="clear" w:color="auto" w:fill="auto"/>
            <w:vAlign w:val="center"/>
          </w:tcPr>
          <w:p w14:paraId="0505C198" w14:textId="55A15DF3" w:rsidR="00C646D7" w:rsidRPr="00DB533C" w:rsidRDefault="00C646D7" w:rsidP="00B077EE">
            <w:pPr>
              <w:rPr>
                <w:lang w:val="en-US"/>
              </w:rPr>
            </w:pPr>
            <w:r w:rsidRPr="00DB533C">
              <w:rPr>
                <w:lang w:val="en-US"/>
              </w:rPr>
              <w:t>34.3</w:t>
            </w:r>
          </w:p>
        </w:tc>
      </w:tr>
      <w:tr w:rsidR="00C646D7" w:rsidRPr="00DB533C" w14:paraId="0E8F3497" w14:textId="77777777" w:rsidTr="005D5A28">
        <w:tc>
          <w:tcPr>
            <w:tcW w:w="3652" w:type="dxa"/>
            <w:shd w:val="clear" w:color="auto" w:fill="auto"/>
          </w:tcPr>
          <w:p w14:paraId="69456F0F" w14:textId="305F589E" w:rsidR="00C646D7" w:rsidRPr="00DB533C" w:rsidRDefault="00C646D7" w:rsidP="00B077EE">
            <w:pPr>
              <w:rPr>
                <w:lang w:val="en-US"/>
              </w:rPr>
            </w:pPr>
            <w:r w:rsidRPr="00DB533C">
              <w:rPr>
                <w:lang w:val="en-US"/>
              </w:rPr>
              <w:t>Net financial status</w:t>
            </w:r>
          </w:p>
        </w:tc>
        <w:tc>
          <w:tcPr>
            <w:tcW w:w="992" w:type="dxa"/>
            <w:shd w:val="clear" w:color="auto" w:fill="auto"/>
            <w:vAlign w:val="center"/>
          </w:tcPr>
          <w:p w14:paraId="27C29401" w14:textId="66DC5F59" w:rsidR="00C646D7" w:rsidRPr="00DB533C" w:rsidRDefault="00C646D7" w:rsidP="00B077EE">
            <w:pPr>
              <w:rPr>
                <w:lang w:val="en-US"/>
              </w:rPr>
            </w:pPr>
            <w:r w:rsidRPr="00DB533C">
              <w:rPr>
                <w:rFonts w:asciiTheme="minorHAnsi" w:hAnsiTheme="minorHAnsi"/>
                <w:lang w:val="en-US"/>
              </w:rPr>
              <w:t>€ million</w:t>
            </w:r>
          </w:p>
        </w:tc>
        <w:tc>
          <w:tcPr>
            <w:tcW w:w="1276" w:type="dxa"/>
          </w:tcPr>
          <w:p w14:paraId="6EB4A002" w14:textId="3E8A6E10" w:rsidR="00C646D7" w:rsidRPr="00DB533C" w:rsidRDefault="00C646D7" w:rsidP="00EA1C19">
            <w:pPr>
              <w:rPr>
                <w:b/>
                <w:lang w:val="en-US"/>
              </w:rPr>
            </w:pPr>
            <w:r w:rsidRPr="00DB533C">
              <w:rPr>
                <w:b/>
                <w:lang w:val="en-US"/>
              </w:rPr>
              <w:t>116.</w:t>
            </w:r>
            <w:r w:rsidR="00EA1C19">
              <w:rPr>
                <w:b/>
                <w:lang w:val="en-US"/>
              </w:rPr>
              <w:t>3</w:t>
            </w:r>
          </w:p>
        </w:tc>
        <w:tc>
          <w:tcPr>
            <w:tcW w:w="1417" w:type="dxa"/>
            <w:shd w:val="clear" w:color="auto" w:fill="auto"/>
            <w:vAlign w:val="center"/>
          </w:tcPr>
          <w:p w14:paraId="226B6F07" w14:textId="172EE85C" w:rsidR="00C646D7" w:rsidRPr="00DB533C" w:rsidRDefault="00C646D7" w:rsidP="00B077EE">
            <w:pPr>
              <w:rPr>
                <w:lang w:val="en-US"/>
              </w:rPr>
            </w:pPr>
            <w:r w:rsidRPr="00DB533C">
              <w:rPr>
                <w:lang w:val="en-US"/>
              </w:rPr>
              <w:t>281.3</w:t>
            </w:r>
          </w:p>
        </w:tc>
      </w:tr>
      <w:tr w:rsidR="00C646D7" w:rsidRPr="00DB533C" w14:paraId="4F2352B8" w14:textId="77777777" w:rsidTr="00C646D7">
        <w:tc>
          <w:tcPr>
            <w:tcW w:w="3652" w:type="dxa"/>
            <w:shd w:val="clear" w:color="auto" w:fill="auto"/>
            <w:vAlign w:val="center"/>
          </w:tcPr>
          <w:p w14:paraId="26E13E8D" w14:textId="7B0F035B" w:rsidR="00C646D7" w:rsidRPr="00DB533C" w:rsidRDefault="00C646D7" w:rsidP="00B077EE">
            <w:pPr>
              <w:rPr>
                <w:lang w:val="en-US"/>
              </w:rPr>
            </w:pPr>
            <w:r w:rsidRPr="00DB533C">
              <w:rPr>
                <w:lang w:val="en-US"/>
              </w:rPr>
              <w:t>Employees</w:t>
            </w:r>
            <w:r w:rsidRPr="00DB533C">
              <w:rPr>
                <w:vertAlign w:val="superscript"/>
                <w:lang w:val="en-US"/>
              </w:rPr>
              <w:t xml:space="preserve"> </w:t>
            </w:r>
            <w:r w:rsidRPr="00DB533C">
              <w:rPr>
                <w:lang w:val="en-US"/>
              </w:rPr>
              <w:t>incl. apprentices</w:t>
            </w:r>
          </w:p>
        </w:tc>
        <w:tc>
          <w:tcPr>
            <w:tcW w:w="992" w:type="dxa"/>
            <w:shd w:val="clear" w:color="auto" w:fill="auto"/>
            <w:vAlign w:val="center"/>
          </w:tcPr>
          <w:p w14:paraId="2A297BD1" w14:textId="6104966A" w:rsidR="00C646D7" w:rsidRPr="00DB533C" w:rsidRDefault="00C646D7" w:rsidP="00B077EE">
            <w:pPr>
              <w:rPr>
                <w:lang w:val="en-US"/>
              </w:rPr>
            </w:pPr>
            <w:r w:rsidRPr="00DB533C">
              <w:rPr>
                <w:lang w:val="en-US"/>
              </w:rPr>
              <w:t>persons</w:t>
            </w:r>
          </w:p>
        </w:tc>
        <w:tc>
          <w:tcPr>
            <w:tcW w:w="1276" w:type="dxa"/>
          </w:tcPr>
          <w:p w14:paraId="147FDD8A" w14:textId="2086F805" w:rsidR="00C646D7" w:rsidRPr="00DB533C" w:rsidRDefault="00C646D7" w:rsidP="007C2789">
            <w:pPr>
              <w:rPr>
                <w:b/>
                <w:lang w:val="en-US"/>
              </w:rPr>
            </w:pPr>
            <w:r w:rsidRPr="00DB533C">
              <w:rPr>
                <w:b/>
                <w:lang w:val="en-US"/>
              </w:rPr>
              <w:t>6,617</w:t>
            </w:r>
          </w:p>
        </w:tc>
        <w:tc>
          <w:tcPr>
            <w:tcW w:w="1417" w:type="dxa"/>
            <w:shd w:val="clear" w:color="auto" w:fill="auto"/>
            <w:vAlign w:val="center"/>
          </w:tcPr>
          <w:p w14:paraId="0862BE18" w14:textId="12F01958" w:rsidR="00C646D7" w:rsidRPr="00DB533C" w:rsidRDefault="00C646D7" w:rsidP="00EA1C19">
            <w:pPr>
              <w:rPr>
                <w:lang w:val="en-US"/>
              </w:rPr>
            </w:pPr>
            <w:r w:rsidRPr="00DB533C">
              <w:rPr>
                <w:lang w:val="en-US"/>
              </w:rPr>
              <w:t>5,1</w:t>
            </w:r>
            <w:r w:rsidR="00EA1C19">
              <w:rPr>
                <w:lang w:val="en-US"/>
              </w:rPr>
              <w:t>6</w:t>
            </w:r>
            <w:r w:rsidRPr="00DB533C">
              <w:rPr>
                <w:lang w:val="en-US"/>
              </w:rPr>
              <w:t>7</w:t>
            </w:r>
          </w:p>
        </w:tc>
      </w:tr>
    </w:tbl>
    <w:p w14:paraId="192938EF" w14:textId="77777777" w:rsidR="005900C7" w:rsidRPr="00DB533C" w:rsidRDefault="005900C7" w:rsidP="00DF4D75">
      <w:pPr>
        <w:rPr>
          <w:lang w:val="en-US"/>
        </w:rPr>
      </w:pPr>
    </w:p>
    <w:p w14:paraId="3855AA23" w14:textId="674A85FD" w:rsidR="006934CA" w:rsidRPr="00DB533C" w:rsidRDefault="006934CA" w:rsidP="006934CA">
      <w:pPr>
        <w:ind w:left="426" w:hanging="426"/>
        <w:rPr>
          <w:lang w:val="en-US"/>
        </w:rPr>
      </w:pPr>
      <w:r w:rsidRPr="00DB533C">
        <w:rPr>
          <w:lang w:val="en-US"/>
        </w:rPr>
        <w:t xml:space="preserve">SI = </w:t>
      </w:r>
      <w:r w:rsidRPr="00DB533C">
        <w:rPr>
          <w:lang w:val="en-US"/>
        </w:rPr>
        <w:tab/>
        <w:t>special items affecting income from the implementation of    restructuring programs</w:t>
      </w:r>
      <w:r w:rsidR="00F405D2">
        <w:rPr>
          <w:lang w:val="en-US"/>
        </w:rPr>
        <w:t xml:space="preserve"> 2015</w:t>
      </w:r>
      <w:bookmarkStart w:id="0" w:name="_GoBack"/>
      <w:bookmarkEnd w:id="0"/>
    </w:p>
    <w:p w14:paraId="2FE26B1A" w14:textId="77777777" w:rsidR="00DF4D75" w:rsidRPr="00DB533C" w:rsidRDefault="00DF4D75" w:rsidP="00DF4D75">
      <w:pPr>
        <w:rPr>
          <w:lang w:val="en-US"/>
        </w:rPr>
      </w:pPr>
    </w:p>
    <w:p w14:paraId="1C3399A4" w14:textId="4BC54821" w:rsidR="00DF4D75" w:rsidRPr="00DB533C" w:rsidRDefault="006934CA" w:rsidP="00DF4D75">
      <w:pPr>
        <w:rPr>
          <w:lang w:val="en-US"/>
        </w:rPr>
      </w:pPr>
      <w:r w:rsidRPr="00DB533C">
        <w:rPr>
          <w:lang w:val="en-US"/>
        </w:rPr>
        <w:t>The online Annual Report 2016 can be found at the following link</w:t>
      </w:r>
      <w:r w:rsidR="00DF4D75" w:rsidRPr="00DB533C">
        <w:rPr>
          <w:lang w:val="en-US"/>
        </w:rPr>
        <w:t>:</w:t>
      </w:r>
    </w:p>
    <w:p w14:paraId="0299F037" w14:textId="77777777" w:rsidR="00DF4D75" w:rsidRPr="00DB533C" w:rsidRDefault="00F405D2" w:rsidP="00DF4D75">
      <w:pPr>
        <w:rPr>
          <w:lang w:val="en-US"/>
        </w:rPr>
      </w:pPr>
      <w:hyperlink r:id="rId11" w:history="1">
        <w:r w:rsidR="00DF4D75" w:rsidRPr="00DB533C">
          <w:rPr>
            <w:rStyle w:val="Hyperlink"/>
            <w:lang w:val="en-US"/>
          </w:rPr>
          <w:t>http://www.schulergroup.com/investor_relations/finanzberichte</w:t>
        </w:r>
      </w:hyperlink>
    </w:p>
    <w:p w14:paraId="66A113F8" w14:textId="77777777" w:rsidR="007E1606" w:rsidRPr="00DB533C" w:rsidRDefault="007E1606" w:rsidP="007E1606">
      <w:pPr>
        <w:rPr>
          <w:lang w:val="en-US"/>
        </w:rPr>
      </w:pPr>
    </w:p>
    <w:p w14:paraId="4C87EE75" w14:textId="77777777" w:rsidR="006D0ACF" w:rsidRPr="00DB533C" w:rsidRDefault="006D0ACF">
      <w:pPr>
        <w:spacing w:line="240" w:lineRule="auto"/>
        <w:rPr>
          <w:rFonts w:cs="Arial"/>
          <w:b/>
          <w:szCs w:val="24"/>
          <w:lang w:val="en-US"/>
        </w:rPr>
      </w:pPr>
      <w:r w:rsidRPr="00DB533C">
        <w:rPr>
          <w:lang w:val="en-US"/>
        </w:rPr>
        <w:br w:type="page"/>
      </w:r>
    </w:p>
    <w:p w14:paraId="15D3D56C" w14:textId="5CEEAED7" w:rsidR="00E41AB6" w:rsidRPr="00DB533C" w:rsidRDefault="005D38A1" w:rsidP="002D5C66">
      <w:pPr>
        <w:pStyle w:val="berschrift2"/>
        <w:rPr>
          <w:lang w:val="en-US"/>
        </w:rPr>
      </w:pPr>
      <w:r>
        <w:rPr>
          <w:lang w:val="en-US"/>
        </w:rPr>
        <w:lastRenderedPageBreak/>
        <w:t>Photos</w:t>
      </w:r>
    </w:p>
    <w:tbl>
      <w:tblPr>
        <w:tblStyle w:val="Tabellenraster"/>
        <w:tblW w:w="0" w:type="auto"/>
        <w:tblLook w:val="04A0" w:firstRow="1" w:lastRow="0" w:firstColumn="1" w:lastColumn="0" w:noHBand="0" w:noVBand="1"/>
      </w:tblPr>
      <w:tblGrid>
        <w:gridCol w:w="3049"/>
        <w:gridCol w:w="3829"/>
      </w:tblGrid>
      <w:tr w:rsidR="006D0ACF" w:rsidRPr="00F405D2" w14:paraId="343CFD90" w14:textId="77777777" w:rsidTr="003E3179">
        <w:tc>
          <w:tcPr>
            <w:tcW w:w="3049" w:type="dxa"/>
          </w:tcPr>
          <w:p w14:paraId="7AAF5EAE" w14:textId="77777777" w:rsidR="006D0ACF" w:rsidRPr="00DB533C" w:rsidRDefault="002D5C66" w:rsidP="002D5C66">
            <w:pPr>
              <w:rPr>
                <w:lang w:val="en-US"/>
              </w:rPr>
            </w:pPr>
            <w:r w:rsidRPr="00DB533C">
              <w:rPr>
                <w:noProof/>
              </w:rPr>
              <w:drawing>
                <wp:inline distT="0" distB="0" distL="0" distR="0" wp14:anchorId="1407E89B" wp14:editId="0E733F74">
                  <wp:extent cx="1799539" cy="1182005"/>
                  <wp:effectExtent l="0" t="0" r="0" b="0"/>
                  <wp:docPr id="8" name="Grafik 8" descr="C:\Users\scherren\AppData\Local\Microsoft\Windows\INetCache\Content.Word\Awe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AppData\Local\Microsoft\Windows\INetCache\Content.Word\Aweba.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99528" cy="1181998"/>
                          </a:xfrm>
                          <a:prstGeom prst="rect">
                            <a:avLst/>
                          </a:prstGeom>
                          <a:noFill/>
                          <a:ln>
                            <a:noFill/>
                          </a:ln>
                        </pic:spPr>
                      </pic:pic>
                    </a:graphicData>
                  </a:graphic>
                </wp:inline>
              </w:drawing>
            </w:r>
          </w:p>
        </w:tc>
        <w:tc>
          <w:tcPr>
            <w:tcW w:w="3829" w:type="dxa"/>
          </w:tcPr>
          <w:p w14:paraId="34D0403C" w14:textId="1795D2B0" w:rsidR="006D0ACF" w:rsidRPr="00DB533C" w:rsidRDefault="006D0ACF" w:rsidP="003E3179">
            <w:pPr>
              <w:rPr>
                <w:lang w:val="en-US"/>
              </w:rPr>
            </w:pPr>
            <w:r w:rsidRPr="00DB533C">
              <w:rPr>
                <w:lang w:val="en-US"/>
              </w:rPr>
              <w:t xml:space="preserve">Bild1.jpg: </w:t>
            </w:r>
            <w:r w:rsidR="003E3179" w:rsidRPr="00DB533C">
              <w:rPr>
                <w:lang w:val="en-US"/>
              </w:rPr>
              <w:t xml:space="preserve">The two subsidiaries acquired in 2016 – AWEBA (photo) and </w:t>
            </w:r>
            <w:proofErr w:type="spellStart"/>
            <w:r w:rsidR="003E3179" w:rsidRPr="00DB533C">
              <w:rPr>
                <w:lang w:val="en-US"/>
              </w:rPr>
              <w:t>Yadon</w:t>
            </w:r>
            <w:proofErr w:type="spellEnd"/>
            <w:r w:rsidR="003E3179" w:rsidRPr="00DB533C">
              <w:rPr>
                <w:lang w:val="en-US"/>
              </w:rPr>
              <w:t xml:space="preserve"> – already made a positive contribution to Schuler’s growth and earnings in their first year. </w:t>
            </w:r>
          </w:p>
        </w:tc>
      </w:tr>
      <w:tr w:rsidR="006D0ACF" w:rsidRPr="00F405D2" w14:paraId="39720339" w14:textId="77777777" w:rsidTr="003E3179">
        <w:tc>
          <w:tcPr>
            <w:tcW w:w="3049" w:type="dxa"/>
          </w:tcPr>
          <w:p w14:paraId="22D846E5" w14:textId="77777777" w:rsidR="006D0ACF" w:rsidRPr="00DB533C" w:rsidRDefault="002D5C66" w:rsidP="006D0ACF">
            <w:pPr>
              <w:rPr>
                <w:lang w:val="en-US"/>
              </w:rPr>
            </w:pPr>
            <w:r w:rsidRPr="00DB533C">
              <w:rPr>
                <w:noProof/>
              </w:rPr>
              <w:drawing>
                <wp:inline distT="0" distB="0" distL="0" distR="0" wp14:anchorId="76560101" wp14:editId="5C718896">
                  <wp:extent cx="1799539" cy="2689430"/>
                  <wp:effectExtent l="0" t="0" r="0" b="0"/>
                  <wp:docPr id="9" name="Grafik 9" descr="C:\Users\scherren\AppData\Local\Microsoft\Windows\INetCache\Content.Word\Simul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cherren\AppData\Local\Microsoft\Windows\INetCache\Content.Word\Simulation.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09507" cy="2704327"/>
                          </a:xfrm>
                          <a:prstGeom prst="rect">
                            <a:avLst/>
                          </a:prstGeom>
                          <a:noFill/>
                          <a:ln>
                            <a:noFill/>
                          </a:ln>
                        </pic:spPr>
                      </pic:pic>
                    </a:graphicData>
                  </a:graphic>
                </wp:inline>
              </w:drawing>
            </w:r>
          </w:p>
        </w:tc>
        <w:tc>
          <w:tcPr>
            <w:tcW w:w="3829" w:type="dxa"/>
          </w:tcPr>
          <w:p w14:paraId="5E2480E7" w14:textId="38F09E7E" w:rsidR="006D0ACF" w:rsidRPr="00DB533C" w:rsidRDefault="006D0ACF" w:rsidP="003E3179">
            <w:pPr>
              <w:rPr>
                <w:lang w:val="en-US"/>
              </w:rPr>
            </w:pPr>
            <w:r w:rsidRPr="00DB533C">
              <w:rPr>
                <w:lang w:val="en-US"/>
              </w:rPr>
              <w:t>Bild2.jpg:</w:t>
            </w:r>
            <w:r w:rsidR="00196EAD" w:rsidRPr="00DB533C">
              <w:rPr>
                <w:lang w:val="en-US"/>
              </w:rPr>
              <w:t xml:space="preserve"> </w:t>
            </w:r>
            <w:r w:rsidR="003E3179" w:rsidRPr="00DB533C">
              <w:rPr>
                <w:lang w:val="en-US"/>
              </w:rPr>
              <w:t xml:space="preserve">An important innovation driver is the further digitization of </w:t>
            </w:r>
            <w:proofErr w:type="spellStart"/>
            <w:r w:rsidR="003E3179" w:rsidRPr="00DB533C">
              <w:rPr>
                <w:lang w:val="en-US"/>
              </w:rPr>
              <w:t>metalforming</w:t>
            </w:r>
            <w:proofErr w:type="spellEnd"/>
            <w:r w:rsidR="003E3179" w:rsidRPr="00DB533C">
              <w:rPr>
                <w:lang w:val="en-US"/>
              </w:rPr>
              <w:t xml:space="preserve"> technology</w:t>
            </w:r>
            <w:r w:rsidR="002D5C66" w:rsidRPr="00DB533C">
              <w:rPr>
                <w:lang w:val="en-US"/>
              </w:rPr>
              <w:t xml:space="preserve">. </w:t>
            </w:r>
            <w:r w:rsidR="003E3179" w:rsidRPr="00DB533C">
              <w:rPr>
                <w:lang w:val="en-US"/>
              </w:rPr>
              <w:t>In 2016, Schuler unveiled its Smart Press Shop to address this issue. It showcases digital solutions for the networking of forming technology which increase both the process reliability and economic efficiency of production for Schuler’s customers.</w:t>
            </w:r>
          </w:p>
        </w:tc>
      </w:tr>
      <w:tr w:rsidR="006D0ACF" w:rsidRPr="00F405D2" w14:paraId="4478916A" w14:textId="77777777" w:rsidTr="003E3179">
        <w:tc>
          <w:tcPr>
            <w:tcW w:w="3049" w:type="dxa"/>
          </w:tcPr>
          <w:p w14:paraId="65F26B5C" w14:textId="10C72531" w:rsidR="006D0ACF" w:rsidRPr="00DB533C" w:rsidRDefault="00352744" w:rsidP="00C41C0F">
            <w:pPr>
              <w:rPr>
                <w:lang w:val="en-US"/>
              </w:rPr>
            </w:pPr>
            <w:r w:rsidRPr="00DB533C">
              <w:rPr>
                <w:noProof/>
              </w:rPr>
              <w:drawing>
                <wp:inline distT="0" distB="0" distL="0" distR="0" wp14:anchorId="0A91BAD6" wp14:editId="13B95D24">
                  <wp:extent cx="1799539" cy="1196660"/>
                  <wp:effectExtent l="0" t="0" r="0" b="3810"/>
                  <wp:docPr id="10" name="Grafik 10" descr="C:\Users\scherren\AppData\Local\Microsoft\Windows\INetCache\Content.Word\S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cherren\AppData\Local\Microsoft\Windows\INetCache\Content.Word\SIT.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99448" cy="1196600"/>
                          </a:xfrm>
                          <a:prstGeom prst="rect">
                            <a:avLst/>
                          </a:prstGeom>
                          <a:noFill/>
                          <a:ln>
                            <a:noFill/>
                          </a:ln>
                        </pic:spPr>
                      </pic:pic>
                    </a:graphicData>
                  </a:graphic>
                </wp:inline>
              </w:drawing>
            </w:r>
          </w:p>
        </w:tc>
        <w:tc>
          <w:tcPr>
            <w:tcW w:w="3829" w:type="dxa"/>
          </w:tcPr>
          <w:p w14:paraId="200D9778" w14:textId="0AE6F2F6" w:rsidR="006D0ACF" w:rsidRPr="00DB533C" w:rsidRDefault="006D0ACF" w:rsidP="00D650A6">
            <w:pPr>
              <w:rPr>
                <w:lang w:val="en-US"/>
              </w:rPr>
            </w:pPr>
            <w:r w:rsidRPr="00DB533C">
              <w:rPr>
                <w:lang w:val="en-US"/>
              </w:rPr>
              <w:t xml:space="preserve">Bild3.jpg: </w:t>
            </w:r>
            <w:r w:rsidR="003E3179" w:rsidRPr="00DB533C">
              <w:rPr>
                <w:lang w:val="en-US"/>
              </w:rPr>
              <w:t xml:space="preserve">The </w:t>
            </w:r>
            <w:r w:rsidR="00D650A6" w:rsidRPr="00DB533C">
              <w:rPr>
                <w:lang w:val="en-US"/>
              </w:rPr>
              <w:t>soon-to-be-completed</w:t>
            </w:r>
            <w:r w:rsidR="003E3179" w:rsidRPr="00DB533C">
              <w:rPr>
                <w:lang w:val="en-US"/>
              </w:rPr>
              <w:t xml:space="preserve"> technological center in </w:t>
            </w:r>
            <w:proofErr w:type="spellStart"/>
            <w:r w:rsidR="003E3179" w:rsidRPr="00DB533C">
              <w:rPr>
                <w:lang w:val="en-US"/>
              </w:rPr>
              <w:t>Göppingen</w:t>
            </w:r>
            <w:proofErr w:type="spellEnd"/>
            <w:r w:rsidR="003E3179" w:rsidRPr="00DB533C">
              <w:rPr>
                <w:lang w:val="en-US"/>
              </w:rPr>
              <w:t>, the Schuler Innovation Tower, accounted for around half of capital expenditures totaling € 45.8 million</w:t>
            </w:r>
            <w:r w:rsidR="002D5C66" w:rsidRPr="00DB533C">
              <w:rPr>
                <w:lang w:val="en-US"/>
              </w:rPr>
              <w:t>.</w:t>
            </w:r>
          </w:p>
        </w:tc>
      </w:tr>
    </w:tbl>
    <w:p w14:paraId="4BB95524" w14:textId="77777777" w:rsidR="003E3179" w:rsidRPr="00DB533C" w:rsidRDefault="003E3179" w:rsidP="003E3179">
      <w:pPr>
        <w:rPr>
          <w:i/>
          <w:lang w:val="en-US"/>
        </w:rPr>
      </w:pPr>
      <w:r w:rsidRPr="00DB533C">
        <w:rPr>
          <w:i/>
          <w:lang w:val="en-US"/>
        </w:rPr>
        <w:t>Please name Schuler as the photo source.</w:t>
      </w:r>
    </w:p>
    <w:p w14:paraId="2ACAC84B" w14:textId="77777777" w:rsidR="006D0ACF" w:rsidRPr="00DB533C" w:rsidRDefault="006D0ACF" w:rsidP="006D0ACF">
      <w:pPr>
        <w:rPr>
          <w:lang w:val="en-US"/>
        </w:rPr>
      </w:pPr>
    </w:p>
    <w:p w14:paraId="4072B1D3" w14:textId="77777777" w:rsidR="002D5C66" w:rsidRPr="00DB533C" w:rsidRDefault="002D5C66">
      <w:pPr>
        <w:spacing w:line="240" w:lineRule="auto"/>
        <w:rPr>
          <w:lang w:val="en-US"/>
        </w:rPr>
      </w:pPr>
      <w:r w:rsidRPr="00DB533C">
        <w:rPr>
          <w:lang w:val="en-US"/>
        </w:rPr>
        <w:br w:type="page"/>
      </w:r>
    </w:p>
    <w:p w14:paraId="0B1CB78F" w14:textId="77777777" w:rsidR="00DF4D75" w:rsidRPr="00DB533C" w:rsidRDefault="00DF4D75">
      <w:pPr>
        <w:spacing w:line="240" w:lineRule="auto"/>
        <w:rPr>
          <w:lang w:val="en-US"/>
        </w:rPr>
      </w:pPr>
    </w:p>
    <w:p w14:paraId="67BA9C7F" w14:textId="77777777" w:rsidR="005833D5" w:rsidRPr="00DB533C" w:rsidRDefault="005833D5" w:rsidP="008E1F8F">
      <w:pPr>
        <w:pBdr>
          <w:top w:val="single" w:sz="4" w:space="1" w:color="auto"/>
        </w:pBdr>
        <w:spacing w:line="240" w:lineRule="auto"/>
        <w:jc w:val="both"/>
        <w:rPr>
          <w:lang w:val="en-US"/>
        </w:rPr>
      </w:pPr>
    </w:p>
    <w:p w14:paraId="0FA5BAE0" w14:textId="77777777" w:rsidR="003E3179" w:rsidRPr="00DB533C" w:rsidRDefault="003E3179" w:rsidP="003E3179">
      <w:pPr>
        <w:spacing w:line="240" w:lineRule="auto"/>
        <w:ind w:right="-15"/>
        <w:jc w:val="both"/>
        <w:outlineLvl w:val="0"/>
        <w:rPr>
          <w:b/>
          <w:i/>
          <w:lang w:val="en-US"/>
        </w:rPr>
      </w:pPr>
      <w:r w:rsidRPr="00DB533C">
        <w:rPr>
          <w:b/>
          <w:i/>
          <w:lang w:val="en-US"/>
        </w:rPr>
        <w:t xml:space="preserve">About the Schuler Group – </w:t>
      </w:r>
      <w:hyperlink r:id="rId15" w:history="1">
        <w:r w:rsidRPr="00DB533C">
          <w:rPr>
            <w:rStyle w:val="Hyperlink"/>
            <w:b/>
            <w:i/>
            <w:lang w:val="en-US"/>
          </w:rPr>
          <w:t>www.schulergroup.com</w:t>
        </w:r>
      </w:hyperlink>
    </w:p>
    <w:p w14:paraId="7D12B323" w14:textId="7D12E0D7" w:rsidR="005833D5" w:rsidRPr="00DB533C" w:rsidRDefault="003E3179" w:rsidP="003E3179">
      <w:pPr>
        <w:pBdr>
          <w:top w:val="single" w:sz="4" w:space="1" w:color="auto"/>
        </w:pBdr>
        <w:spacing w:line="240" w:lineRule="auto"/>
        <w:jc w:val="both"/>
        <w:rPr>
          <w:i/>
          <w:lang w:val="en-US"/>
        </w:rPr>
      </w:pPr>
      <w:r w:rsidRPr="00DB533C">
        <w:rPr>
          <w:i/>
          <w:lang w:val="en-US"/>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leading supplier of minting presses and supplies system solutions for aerospace, rail transport, and large pipe manufacturing. In 2016, Schuler </w:t>
      </w:r>
      <w:r w:rsidR="00FD56B1" w:rsidRPr="00DB533C">
        <w:rPr>
          <w:i/>
          <w:lang w:val="en-US"/>
        </w:rPr>
        <w:t>post</w:t>
      </w:r>
      <w:r w:rsidRPr="00DB533C">
        <w:rPr>
          <w:i/>
          <w:lang w:val="en-US"/>
        </w:rPr>
        <w:t xml:space="preserve">ed </w:t>
      </w:r>
      <w:r w:rsidR="00FD56B1" w:rsidRPr="00DB533C">
        <w:rPr>
          <w:i/>
          <w:lang w:val="en-US"/>
        </w:rPr>
        <w:t xml:space="preserve">sales </w:t>
      </w:r>
      <w:r w:rsidRPr="00DB533C">
        <w:rPr>
          <w:i/>
          <w:lang w:val="en-US"/>
        </w:rPr>
        <w:t xml:space="preserve">of </w:t>
      </w:r>
      <w:r w:rsidR="00FD56B1" w:rsidRPr="00DB533C">
        <w:rPr>
          <w:i/>
          <w:lang w:val="en-US"/>
        </w:rPr>
        <w:t>€ </w:t>
      </w:r>
      <w:r w:rsidRPr="00DB533C">
        <w:rPr>
          <w:i/>
          <w:lang w:val="en-US"/>
        </w:rPr>
        <w:t xml:space="preserve">1,174 million. Following the acquisition of </w:t>
      </w:r>
      <w:r w:rsidR="00FD56B1" w:rsidRPr="00DB533C">
        <w:rPr>
          <w:i/>
          <w:lang w:val="en-US"/>
        </w:rPr>
        <w:t xml:space="preserve">toolmaker </w:t>
      </w:r>
      <w:r w:rsidRPr="00DB533C">
        <w:rPr>
          <w:i/>
          <w:lang w:val="en-US"/>
        </w:rPr>
        <w:t xml:space="preserve">AWEBA and a majority </w:t>
      </w:r>
      <w:r w:rsidR="00FD56B1" w:rsidRPr="00DB533C">
        <w:rPr>
          <w:i/>
          <w:lang w:val="en-US"/>
        </w:rPr>
        <w:t xml:space="preserve">stake </w:t>
      </w:r>
      <w:r w:rsidRPr="00DB533C">
        <w:rPr>
          <w:i/>
          <w:lang w:val="en-US"/>
        </w:rPr>
        <w:t xml:space="preserve">in Chinese press manufacturing company </w:t>
      </w:r>
      <w:proofErr w:type="spellStart"/>
      <w:r w:rsidRPr="00DB533C">
        <w:rPr>
          <w:i/>
          <w:lang w:val="en-US"/>
        </w:rPr>
        <w:t>Yadon</w:t>
      </w:r>
      <w:proofErr w:type="spellEnd"/>
      <w:r w:rsidRPr="00DB533C">
        <w:rPr>
          <w:i/>
          <w:lang w:val="en-US"/>
        </w:rPr>
        <w:t>, Schuler employs around 6,600 members of staff in 40 countries. The Austrian ANDRITZ Group holds a majority share in Schuler.</w:t>
      </w:r>
    </w:p>
    <w:p w14:paraId="457EF899" w14:textId="77777777" w:rsidR="003E3179" w:rsidRPr="00DB533C" w:rsidRDefault="003E3179" w:rsidP="003E3179">
      <w:pPr>
        <w:pBdr>
          <w:top w:val="single" w:sz="4" w:space="1" w:color="auto"/>
        </w:pBdr>
        <w:spacing w:line="240" w:lineRule="auto"/>
        <w:jc w:val="both"/>
        <w:rPr>
          <w:lang w:val="en-US"/>
        </w:rPr>
      </w:pPr>
    </w:p>
    <w:p w14:paraId="676475CB" w14:textId="266058CF" w:rsidR="005833D5" w:rsidRPr="00DB533C" w:rsidRDefault="005833D5" w:rsidP="001B1B07">
      <w:pPr>
        <w:spacing w:line="240" w:lineRule="auto"/>
        <w:ind w:right="-15"/>
        <w:jc w:val="both"/>
        <w:outlineLvl w:val="0"/>
        <w:rPr>
          <w:i/>
          <w:lang w:val="en-US"/>
        </w:rPr>
      </w:pPr>
    </w:p>
    <w:sectPr w:rsidR="005833D5" w:rsidRPr="00DB533C"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34495" w14:textId="77777777" w:rsidR="00186E44" w:rsidRDefault="00186E44" w:rsidP="007E132D">
      <w:r>
        <w:separator/>
      </w:r>
    </w:p>
    <w:p w14:paraId="4B8AB04A" w14:textId="77777777" w:rsidR="00186E44" w:rsidRDefault="00186E44" w:rsidP="007E132D"/>
  </w:endnote>
  <w:endnote w:type="continuationSeparator" w:id="0">
    <w:p w14:paraId="065FD316" w14:textId="77777777" w:rsidR="00186E44" w:rsidRDefault="00186E44" w:rsidP="007E132D">
      <w:r>
        <w:continuationSeparator/>
      </w:r>
    </w:p>
    <w:p w14:paraId="2531AF03" w14:textId="77777777" w:rsidR="00186E44" w:rsidRDefault="00186E44" w:rsidP="007E132D"/>
  </w:endnote>
  <w:endnote w:type="continuationNotice" w:id="1">
    <w:p w14:paraId="589A00A1" w14:textId="77777777" w:rsidR="00186E44" w:rsidRDefault="00186E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0FDB5DB" w14:textId="77777777" w:rsidTr="007E1606">
      <w:trPr>
        <w:trHeight w:hRule="exact" w:val="227"/>
      </w:trPr>
      <w:tc>
        <w:tcPr>
          <w:tcW w:w="2409" w:type="dxa"/>
          <w:shd w:val="clear" w:color="auto" w:fill="auto"/>
        </w:tcPr>
        <w:p w14:paraId="13CFABC7"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405D2">
            <w:rPr>
              <w:rFonts w:eastAsia="Calibri"/>
              <w:noProof/>
            </w:rPr>
            <w:instrText>7</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F405D2">
            <w:rPr>
              <w:rFonts w:eastAsia="Calibri"/>
              <w:noProof/>
            </w:rPr>
            <w:instrText>6</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405D2">
            <w:rPr>
              <w:rFonts w:eastAsia="Calibri"/>
              <w:noProof/>
            </w:rPr>
            <w:instrText>7</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F405D2" w:rsidRPr="007E1606">
            <w:rPr>
              <w:rFonts w:eastAsia="Calibri"/>
              <w:noProof/>
            </w:rPr>
            <w:t xml:space="preserve">Seite </w:t>
          </w:r>
          <w:r w:rsidR="00F405D2">
            <w:rPr>
              <w:rFonts w:eastAsia="Calibri"/>
              <w:noProof/>
            </w:rPr>
            <w:t>6</w:t>
          </w:r>
          <w:r w:rsidR="00F405D2" w:rsidRPr="007E1606">
            <w:rPr>
              <w:rFonts w:eastAsia="Calibri"/>
              <w:noProof/>
            </w:rPr>
            <w:t xml:space="preserve"> von </w:t>
          </w:r>
          <w:r w:rsidR="00F405D2">
            <w:rPr>
              <w:rFonts w:eastAsia="Calibri"/>
              <w:noProof/>
            </w:rPr>
            <w:t>7</w:t>
          </w:r>
          <w:r w:rsidRPr="007E1606">
            <w:rPr>
              <w:rFonts w:eastAsia="Calibri"/>
            </w:rPr>
            <w:fldChar w:fldCharType="end"/>
          </w:r>
        </w:p>
      </w:tc>
    </w:tr>
  </w:tbl>
  <w:p w14:paraId="40364DC1" w14:textId="77777777" w:rsidR="00E3363B" w:rsidRPr="00D16703" w:rsidRDefault="00E3363B" w:rsidP="007E132D">
    <w:pPr>
      <w:pStyle w:val="Fuzeile"/>
      <w:rPr>
        <w:lang w:val="it-IT"/>
      </w:rPr>
    </w:pPr>
  </w:p>
  <w:p w14:paraId="7E51AB9E" w14:textId="77777777" w:rsidR="00E90330" w:rsidRDefault="00E90330" w:rsidP="007E132D"/>
  <w:p w14:paraId="1E31C9AE"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DE4FA"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6E6CC" w14:textId="77777777" w:rsidR="00186E44" w:rsidRDefault="00186E44" w:rsidP="007E132D">
      <w:r>
        <w:separator/>
      </w:r>
    </w:p>
    <w:p w14:paraId="5A410D34" w14:textId="77777777" w:rsidR="00186E44" w:rsidRDefault="00186E44" w:rsidP="007E132D"/>
  </w:footnote>
  <w:footnote w:type="continuationSeparator" w:id="0">
    <w:p w14:paraId="1B5E8192" w14:textId="77777777" w:rsidR="00186E44" w:rsidRDefault="00186E44" w:rsidP="007E132D">
      <w:r>
        <w:continuationSeparator/>
      </w:r>
    </w:p>
    <w:p w14:paraId="139D7976" w14:textId="77777777" w:rsidR="00186E44" w:rsidRDefault="00186E44" w:rsidP="007E132D"/>
  </w:footnote>
  <w:footnote w:type="continuationNotice" w:id="1">
    <w:p w14:paraId="67E4F9EC" w14:textId="77777777" w:rsidR="00186E44" w:rsidRDefault="00186E44">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A469B"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C1FDBD5" wp14:editId="0D4146F6">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C4BF0E9" wp14:editId="2865CE32">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7C20E" w14:textId="77777777" w:rsidR="00E3363B" w:rsidRDefault="001E0C3C" w:rsidP="007E132D">
    <w:r>
      <w:rPr>
        <w:noProof/>
      </w:rPr>
      <w:drawing>
        <wp:anchor distT="0" distB="0" distL="114300" distR="114300" simplePos="0" relativeHeight="251656192" behindDoc="1" locked="0" layoutInCell="1" allowOverlap="1" wp14:anchorId="64A42CCD" wp14:editId="0957B01C">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2F4C52DA" w14:textId="77777777" w:rsidR="00E3363B" w:rsidRDefault="00E3363B" w:rsidP="007E132D"/>
  <w:p w14:paraId="1E133EC7"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40BCA6A" wp14:editId="5360E660">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5C1A01" w14:textId="77777777" w:rsidR="00E3363B" w:rsidRDefault="00E3363B" w:rsidP="007E132D"/>
  <w:p w14:paraId="5F5E7DAA"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1D8A68D4"/>
    <w:multiLevelType w:val="hybridMultilevel"/>
    <w:tmpl w:val="84287694"/>
    <w:lvl w:ilvl="0" w:tplc="C4B4B0E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E794E09"/>
    <w:multiLevelType w:val="hybridMultilevel"/>
    <w:tmpl w:val="B7082D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6B6B24A9"/>
    <w:multiLevelType w:val="hybridMultilevel"/>
    <w:tmpl w:val="69BCED74"/>
    <w:lvl w:ilvl="0" w:tplc="8F0E8BF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E2F37E3"/>
    <w:multiLevelType w:val="hybridMultilevel"/>
    <w:tmpl w:val="8474D11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6"/>
  </w:num>
  <w:num w:numId="6">
    <w:abstractNumId w:val="11"/>
  </w:num>
  <w:num w:numId="7">
    <w:abstractNumId w:val="8"/>
  </w:num>
  <w:num w:numId="8">
    <w:abstractNumId w:val="0"/>
  </w:num>
  <w:num w:numId="9">
    <w:abstractNumId w:val="9"/>
  </w:num>
  <w:num w:numId="10">
    <w:abstractNumId w:val="10"/>
  </w:num>
  <w:num w:numId="11">
    <w:abstractNumId w:val="14"/>
  </w:num>
  <w:num w:numId="12">
    <w:abstractNumId w:val="13"/>
  </w:num>
  <w:num w:numId="13">
    <w:abstractNumId w:val="3"/>
  </w:num>
  <w:num w:numId="14">
    <w:abstractNumId w:val="1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6E"/>
    <w:rsid w:val="00003CBE"/>
    <w:rsid w:val="00004C7F"/>
    <w:rsid w:val="00020745"/>
    <w:rsid w:val="00021149"/>
    <w:rsid w:val="000262E3"/>
    <w:rsid w:val="00026F9E"/>
    <w:rsid w:val="00031750"/>
    <w:rsid w:val="00033BD2"/>
    <w:rsid w:val="00044918"/>
    <w:rsid w:val="00045F35"/>
    <w:rsid w:val="00060CF4"/>
    <w:rsid w:val="000612A3"/>
    <w:rsid w:val="00061C4B"/>
    <w:rsid w:val="000716BA"/>
    <w:rsid w:val="00072575"/>
    <w:rsid w:val="000731DE"/>
    <w:rsid w:val="000809FF"/>
    <w:rsid w:val="00086F40"/>
    <w:rsid w:val="000A01AD"/>
    <w:rsid w:val="000A52A8"/>
    <w:rsid w:val="000B30FE"/>
    <w:rsid w:val="000B704A"/>
    <w:rsid w:val="000C0CAD"/>
    <w:rsid w:val="000C2E6C"/>
    <w:rsid w:val="000D496E"/>
    <w:rsid w:val="000E228F"/>
    <w:rsid w:val="000E33AE"/>
    <w:rsid w:val="000F2F77"/>
    <w:rsid w:val="00102187"/>
    <w:rsid w:val="00104F2C"/>
    <w:rsid w:val="00111AB7"/>
    <w:rsid w:val="0012147B"/>
    <w:rsid w:val="00123E82"/>
    <w:rsid w:val="001269B3"/>
    <w:rsid w:val="00127E08"/>
    <w:rsid w:val="00130A5F"/>
    <w:rsid w:val="00130B60"/>
    <w:rsid w:val="001343EF"/>
    <w:rsid w:val="00136218"/>
    <w:rsid w:val="00136E90"/>
    <w:rsid w:val="0013722E"/>
    <w:rsid w:val="00137A7A"/>
    <w:rsid w:val="00141274"/>
    <w:rsid w:val="0015001C"/>
    <w:rsid w:val="00152C69"/>
    <w:rsid w:val="001630AC"/>
    <w:rsid w:val="001631E1"/>
    <w:rsid w:val="0016339C"/>
    <w:rsid w:val="0016495A"/>
    <w:rsid w:val="00166EF0"/>
    <w:rsid w:val="00173722"/>
    <w:rsid w:val="0017697C"/>
    <w:rsid w:val="0017745F"/>
    <w:rsid w:val="001852B3"/>
    <w:rsid w:val="00186E44"/>
    <w:rsid w:val="00196EAD"/>
    <w:rsid w:val="001B1B07"/>
    <w:rsid w:val="001C1FA2"/>
    <w:rsid w:val="001C3EE2"/>
    <w:rsid w:val="001C49CA"/>
    <w:rsid w:val="001D7FC8"/>
    <w:rsid w:val="001E0C3C"/>
    <w:rsid w:val="001F02CA"/>
    <w:rsid w:val="001F6280"/>
    <w:rsid w:val="00201FB2"/>
    <w:rsid w:val="0020514D"/>
    <w:rsid w:val="002077B7"/>
    <w:rsid w:val="00212513"/>
    <w:rsid w:val="00215C8A"/>
    <w:rsid w:val="002168F2"/>
    <w:rsid w:val="002264C8"/>
    <w:rsid w:val="002315E0"/>
    <w:rsid w:val="002350D8"/>
    <w:rsid w:val="002375D7"/>
    <w:rsid w:val="0024368D"/>
    <w:rsid w:val="00270204"/>
    <w:rsid w:val="002712C2"/>
    <w:rsid w:val="00271690"/>
    <w:rsid w:val="00272E61"/>
    <w:rsid w:val="002A1D04"/>
    <w:rsid w:val="002A3A54"/>
    <w:rsid w:val="002A42B6"/>
    <w:rsid w:val="002A4B0E"/>
    <w:rsid w:val="002A6D71"/>
    <w:rsid w:val="002B391B"/>
    <w:rsid w:val="002B41E8"/>
    <w:rsid w:val="002C201D"/>
    <w:rsid w:val="002D1BC7"/>
    <w:rsid w:val="002D5C66"/>
    <w:rsid w:val="002F0DD1"/>
    <w:rsid w:val="002F1C36"/>
    <w:rsid w:val="002F4C3B"/>
    <w:rsid w:val="002F5BC5"/>
    <w:rsid w:val="0031052B"/>
    <w:rsid w:val="003230D4"/>
    <w:rsid w:val="00323555"/>
    <w:rsid w:val="0032462B"/>
    <w:rsid w:val="003301EF"/>
    <w:rsid w:val="00332940"/>
    <w:rsid w:val="00337A1F"/>
    <w:rsid w:val="003428AB"/>
    <w:rsid w:val="00352744"/>
    <w:rsid w:val="00356F4D"/>
    <w:rsid w:val="00363740"/>
    <w:rsid w:val="00364957"/>
    <w:rsid w:val="00365676"/>
    <w:rsid w:val="00365A9E"/>
    <w:rsid w:val="003728F6"/>
    <w:rsid w:val="00373C01"/>
    <w:rsid w:val="00377903"/>
    <w:rsid w:val="00377DED"/>
    <w:rsid w:val="003868B4"/>
    <w:rsid w:val="003908E3"/>
    <w:rsid w:val="00390E80"/>
    <w:rsid w:val="003973F9"/>
    <w:rsid w:val="003B7775"/>
    <w:rsid w:val="003C626A"/>
    <w:rsid w:val="003C6F06"/>
    <w:rsid w:val="003D76C7"/>
    <w:rsid w:val="003E30C0"/>
    <w:rsid w:val="003E3179"/>
    <w:rsid w:val="003F0681"/>
    <w:rsid w:val="003F122E"/>
    <w:rsid w:val="003F17F1"/>
    <w:rsid w:val="003F6888"/>
    <w:rsid w:val="003F73D0"/>
    <w:rsid w:val="004026E0"/>
    <w:rsid w:val="00403EFF"/>
    <w:rsid w:val="004107D4"/>
    <w:rsid w:val="00431EBF"/>
    <w:rsid w:val="004355F7"/>
    <w:rsid w:val="0043797F"/>
    <w:rsid w:val="00443C29"/>
    <w:rsid w:val="004469A3"/>
    <w:rsid w:val="004670BD"/>
    <w:rsid w:val="0047180C"/>
    <w:rsid w:val="00476782"/>
    <w:rsid w:val="00476D9C"/>
    <w:rsid w:val="00480D95"/>
    <w:rsid w:val="00485C6B"/>
    <w:rsid w:val="004914EF"/>
    <w:rsid w:val="004B2A6D"/>
    <w:rsid w:val="004B64DD"/>
    <w:rsid w:val="004C4B30"/>
    <w:rsid w:val="004C697D"/>
    <w:rsid w:val="004D48E7"/>
    <w:rsid w:val="004D76DD"/>
    <w:rsid w:val="00502373"/>
    <w:rsid w:val="00507599"/>
    <w:rsid w:val="00530098"/>
    <w:rsid w:val="00533491"/>
    <w:rsid w:val="00552A9D"/>
    <w:rsid w:val="005547DF"/>
    <w:rsid w:val="00556DD6"/>
    <w:rsid w:val="005574CD"/>
    <w:rsid w:val="0056768B"/>
    <w:rsid w:val="005700A9"/>
    <w:rsid w:val="00570724"/>
    <w:rsid w:val="00573700"/>
    <w:rsid w:val="00575FA0"/>
    <w:rsid w:val="005769A0"/>
    <w:rsid w:val="00582EFE"/>
    <w:rsid w:val="005833D5"/>
    <w:rsid w:val="005900C7"/>
    <w:rsid w:val="0059165D"/>
    <w:rsid w:val="00595D96"/>
    <w:rsid w:val="005A5910"/>
    <w:rsid w:val="005C0BBB"/>
    <w:rsid w:val="005C6AE3"/>
    <w:rsid w:val="005D20C1"/>
    <w:rsid w:val="005D38A1"/>
    <w:rsid w:val="005D60B7"/>
    <w:rsid w:val="005D74A9"/>
    <w:rsid w:val="005F6D99"/>
    <w:rsid w:val="00601238"/>
    <w:rsid w:val="0060142A"/>
    <w:rsid w:val="00617FB3"/>
    <w:rsid w:val="00646707"/>
    <w:rsid w:val="0065451D"/>
    <w:rsid w:val="00654B60"/>
    <w:rsid w:val="0065642C"/>
    <w:rsid w:val="00660D47"/>
    <w:rsid w:val="00671E3C"/>
    <w:rsid w:val="00673BF3"/>
    <w:rsid w:val="00674EF3"/>
    <w:rsid w:val="00677EBB"/>
    <w:rsid w:val="006813B8"/>
    <w:rsid w:val="00681D20"/>
    <w:rsid w:val="0068251B"/>
    <w:rsid w:val="006848FF"/>
    <w:rsid w:val="00687868"/>
    <w:rsid w:val="006908E0"/>
    <w:rsid w:val="00692415"/>
    <w:rsid w:val="006934CA"/>
    <w:rsid w:val="006A04A0"/>
    <w:rsid w:val="006A31D9"/>
    <w:rsid w:val="006A659E"/>
    <w:rsid w:val="006A7F52"/>
    <w:rsid w:val="006C42B5"/>
    <w:rsid w:val="006C730C"/>
    <w:rsid w:val="006D0ACF"/>
    <w:rsid w:val="006D7242"/>
    <w:rsid w:val="006E3C9B"/>
    <w:rsid w:val="006E632D"/>
    <w:rsid w:val="006F407F"/>
    <w:rsid w:val="006F6314"/>
    <w:rsid w:val="007007EC"/>
    <w:rsid w:val="00703E6F"/>
    <w:rsid w:val="00714E5C"/>
    <w:rsid w:val="0072042B"/>
    <w:rsid w:val="00726B8B"/>
    <w:rsid w:val="00733AAF"/>
    <w:rsid w:val="00735F8F"/>
    <w:rsid w:val="00736F21"/>
    <w:rsid w:val="00737048"/>
    <w:rsid w:val="00737AC9"/>
    <w:rsid w:val="00740306"/>
    <w:rsid w:val="007603ED"/>
    <w:rsid w:val="00770316"/>
    <w:rsid w:val="007826E4"/>
    <w:rsid w:val="00784E5A"/>
    <w:rsid w:val="007928F0"/>
    <w:rsid w:val="00794AEE"/>
    <w:rsid w:val="007B01F1"/>
    <w:rsid w:val="007B0BF4"/>
    <w:rsid w:val="007B3C68"/>
    <w:rsid w:val="007B5B2D"/>
    <w:rsid w:val="007B7792"/>
    <w:rsid w:val="007C0127"/>
    <w:rsid w:val="007C16F5"/>
    <w:rsid w:val="007C2789"/>
    <w:rsid w:val="007D10BF"/>
    <w:rsid w:val="007D4FDB"/>
    <w:rsid w:val="007D508E"/>
    <w:rsid w:val="007D76D1"/>
    <w:rsid w:val="007E132D"/>
    <w:rsid w:val="007E1606"/>
    <w:rsid w:val="007F4512"/>
    <w:rsid w:val="00800FC9"/>
    <w:rsid w:val="008165FD"/>
    <w:rsid w:val="0082176E"/>
    <w:rsid w:val="00821B54"/>
    <w:rsid w:val="00821E5D"/>
    <w:rsid w:val="00822597"/>
    <w:rsid w:val="008258E8"/>
    <w:rsid w:val="00825A16"/>
    <w:rsid w:val="00830575"/>
    <w:rsid w:val="008334D5"/>
    <w:rsid w:val="00840BFE"/>
    <w:rsid w:val="00853278"/>
    <w:rsid w:val="008618F3"/>
    <w:rsid w:val="00865B83"/>
    <w:rsid w:val="00870B93"/>
    <w:rsid w:val="008718D2"/>
    <w:rsid w:val="0087295F"/>
    <w:rsid w:val="008746C7"/>
    <w:rsid w:val="00876D34"/>
    <w:rsid w:val="00876E6E"/>
    <w:rsid w:val="00877DC8"/>
    <w:rsid w:val="00885551"/>
    <w:rsid w:val="00894865"/>
    <w:rsid w:val="00896BEF"/>
    <w:rsid w:val="008C0F9D"/>
    <w:rsid w:val="008C6578"/>
    <w:rsid w:val="008D1374"/>
    <w:rsid w:val="008D1FC9"/>
    <w:rsid w:val="008D67FA"/>
    <w:rsid w:val="008D6D32"/>
    <w:rsid w:val="008E1F8F"/>
    <w:rsid w:val="008F5E25"/>
    <w:rsid w:val="009060ED"/>
    <w:rsid w:val="00920948"/>
    <w:rsid w:val="00926076"/>
    <w:rsid w:val="00941203"/>
    <w:rsid w:val="00957449"/>
    <w:rsid w:val="00960075"/>
    <w:rsid w:val="00960B80"/>
    <w:rsid w:val="00961469"/>
    <w:rsid w:val="009625BC"/>
    <w:rsid w:val="00975A13"/>
    <w:rsid w:val="00983A2F"/>
    <w:rsid w:val="009A1AA4"/>
    <w:rsid w:val="009A680E"/>
    <w:rsid w:val="009B2577"/>
    <w:rsid w:val="009B3EB7"/>
    <w:rsid w:val="009B52FC"/>
    <w:rsid w:val="009B7172"/>
    <w:rsid w:val="009C147A"/>
    <w:rsid w:val="009E26A3"/>
    <w:rsid w:val="009E2F4C"/>
    <w:rsid w:val="009E759C"/>
    <w:rsid w:val="009F22A5"/>
    <w:rsid w:val="009F3063"/>
    <w:rsid w:val="009F65F3"/>
    <w:rsid w:val="00A0214C"/>
    <w:rsid w:val="00A15FD6"/>
    <w:rsid w:val="00A166C4"/>
    <w:rsid w:val="00A31D72"/>
    <w:rsid w:val="00A32B85"/>
    <w:rsid w:val="00A35BFC"/>
    <w:rsid w:val="00A37F3D"/>
    <w:rsid w:val="00A46561"/>
    <w:rsid w:val="00A500A4"/>
    <w:rsid w:val="00A60287"/>
    <w:rsid w:val="00A65B80"/>
    <w:rsid w:val="00A71C85"/>
    <w:rsid w:val="00A74933"/>
    <w:rsid w:val="00A804A0"/>
    <w:rsid w:val="00A84E6A"/>
    <w:rsid w:val="00A86ACD"/>
    <w:rsid w:val="00A9156A"/>
    <w:rsid w:val="00A91986"/>
    <w:rsid w:val="00A93519"/>
    <w:rsid w:val="00A94C21"/>
    <w:rsid w:val="00AC55D1"/>
    <w:rsid w:val="00AC6510"/>
    <w:rsid w:val="00AE140E"/>
    <w:rsid w:val="00AE3AFF"/>
    <w:rsid w:val="00AF2A76"/>
    <w:rsid w:val="00AF2D43"/>
    <w:rsid w:val="00AF64B9"/>
    <w:rsid w:val="00AF64C6"/>
    <w:rsid w:val="00B01B58"/>
    <w:rsid w:val="00B066AC"/>
    <w:rsid w:val="00B06BC4"/>
    <w:rsid w:val="00B17B0A"/>
    <w:rsid w:val="00B206B1"/>
    <w:rsid w:val="00B23715"/>
    <w:rsid w:val="00B307A6"/>
    <w:rsid w:val="00B44425"/>
    <w:rsid w:val="00B473D6"/>
    <w:rsid w:val="00B47659"/>
    <w:rsid w:val="00B55136"/>
    <w:rsid w:val="00B762C9"/>
    <w:rsid w:val="00B86DA7"/>
    <w:rsid w:val="00B870FD"/>
    <w:rsid w:val="00BA09F2"/>
    <w:rsid w:val="00BA499E"/>
    <w:rsid w:val="00BC3523"/>
    <w:rsid w:val="00C052F5"/>
    <w:rsid w:val="00C41C0F"/>
    <w:rsid w:val="00C47A9E"/>
    <w:rsid w:val="00C47DAA"/>
    <w:rsid w:val="00C552CA"/>
    <w:rsid w:val="00C62740"/>
    <w:rsid w:val="00C646D7"/>
    <w:rsid w:val="00C70235"/>
    <w:rsid w:val="00C72CD3"/>
    <w:rsid w:val="00C7357A"/>
    <w:rsid w:val="00C76E68"/>
    <w:rsid w:val="00C827F0"/>
    <w:rsid w:val="00C82B81"/>
    <w:rsid w:val="00C85C10"/>
    <w:rsid w:val="00C860F0"/>
    <w:rsid w:val="00C96DAD"/>
    <w:rsid w:val="00CB2B5C"/>
    <w:rsid w:val="00CB57A7"/>
    <w:rsid w:val="00CB67B8"/>
    <w:rsid w:val="00CC5432"/>
    <w:rsid w:val="00CC7CCA"/>
    <w:rsid w:val="00CD1847"/>
    <w:rsid w:val="00CD3AA7"/>
    <w:rsid w:val="00CD5930"/>
    <w:rsid w:val="00CF18B5"/>
    <w:rsid w:val="00D14566"/>
    <w:rsid w:val="00D15E35"/>
    <w:rsid w:val="00D16703"/>
    <w:rsid w:val="00D20AFE"/>
    <w:rsid w:val="00D36969"/>
    <w:rsid w:val="00D43E4E"/>
    <w:rsid w:val="00D4577B"/>
    <w:rsid w:val="00D55C5C"/>
    <w:rsid w:val="00D5679F"/>
    <w:rsid w:val="00D650A6"/>
    <w:rsid w:val="00D70424"/>
    <w:rsid w:val="00D73325"/>
    <w:rsid w:val="00D76894"/>
    <w:rsid w:val="00D82AE7"/>
    <w:rsid w:val="00DA1C30"/>
    <w:rsid w:val="00DB04FA"/>
    <w:rsid w:val="00DB2BB2"/>
    <w:rsid w:val="00DB3F3F"/>
    <w:rsid w:val="00DB533C"/>
    <w:rsid w:val="00DB73FC"/>
    <w:rsid w:val="00DC5C7D"/>
    <w:rsid w:val="00DC5DAA"/>
    <w:rsid w:val="00DC7EF7"/>
    <w:rsid w:val="00DD16C5"/>
    <w:rsid w:val="00DD41C4"/>
    <w:rsid w:val="00DE35EB"/>
    <w:rsid w:val="00DE6930"/>
    <w:rsid w:val="00DF4D75"/>
    <w:rsid w:val="00DF7197"/>
    <w:rsid w:val="00E06A19"/>
    <w:rsid w:val="00E10200"/>
    <w:rsid w:val="00E10C5D"/>
    <w:rsid w:val="00E10CA8"/>
    <w:rsid w:val="00E207BB"/>
    <w:rsid w:val="00E2304D"/>
    <w:rsid w:val="00E23EF1"/>
    <w:rsid w:val="00E26828"/>
    <w:rsid w:val="00E3363B"/>
    <w:rsid w:val="00E36721"/>
    <w:rsid w:val="00E37343"/>
    <w:rsid w:val="00E4095F"/>
    <w:rsid w:val="00E41AB6"/>
    <w:rsid w:val="00E44E45"/>
    <w:rsid w:val="00E50F8F"/>
    <w:rsid w:val="00E5769E"/>
    <w:rsid w:val="00E6320B"/>
    <w:rsid w:val="00E753DF"/>
    <w:rsid w:val="00E76694"/>
    <w:rsid w:val="00E85A97"/>
    <w:rsid w:val="00E90330"/>
    <w:rsid w:val="00E9449F"/>
    <w:rsid w:val="00E94A8B"/>
    <w:rsid w:val="00E94CAA"/>
    <w:rsid w:val="00EA0877"/>
    <w:rsid w:val="00EA1C19"/>
    <w:rsid w:val="00EA54FD"/>
    <w:rsid w:val="00EA7DC3"/>
    <w:rsid w:val="00EB1C2E"/>
    <w:rsid w:val="00EC0313"/>
    <w:rsid w:val="00EC73C7"/>
    <w:rsid w:val="00ED091A"/>
    <w:rsid w:val="00ED444E"/>
    <w:rsid w:val="00EE01A2"/>
    <w:rsid w:val="00EE69FD"/>
    <w:rsid w:val="00F002F6"/>
    <w:rsid w:val="00F113F7"/>
    <w:rsid w:val="00F23257"/>
    <w:rsid w:val="00F23AAD"/>
    <w:rsid w:val="00F32AA1"/>
    <w:rsid w:val="00F37AA8"/>
    <w:rsid w:val="00F405D2"/>
    <w:rsid w:val="00F44765"/>
    <w:rsid w:val="00F5073A"/>
    <w:rsid w:val="00F53696"/>
    <w:rsid w:val="00F5709F"/>
    <w:rsid w:val="00F654EB"/>
    <w:rsid w:val="00F733D5"/>
    <w:rsid w:val="00F7676C"/>
    <w:rsid w:val="00F96C5F"/>
    <w:rsid w:val="00FA05BB"/>
    <w:rsid w:val="00FA3849"/>
    <w:rsid w:val="00FB695F"/>
    <w:rsid w:val="00FC0D07"/>
    <w:rsid w:val="00FC33E5"/>
    <w:rsid w:val="00FC7FFD"/>
    <w:rsid w:val="00FD1AC7"/>
    <w:rsid w:val="00FD56B1"/>
    <w:rsid w:val="00FE2FB7"/>
    <w:rsid w:val="00FF27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1A6D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 w:type="paragraph" w:styleId="Kommentarthema">
    <w:name w:val="annotation subject"/>
    <w:basedOn w:val="Kommentartext"/>
    <w:next w:val="Kommentartext"/>
    <w:link w:val="KommentarthemaZchn"/>
    <w:semiHidden/>
    <w:unhideWhenUsed/>
    <w:rsid w:val="00DA1C30"/>
    <w:rPr>
      <w:b/>
      <w:bCs/>
    </w:rPr>
  </w:style>
  <w:style w:type="character" w:customStyle="1" w:styleId="KommentarthemaZchn">
    <w:name w:val="Kommentarthema Zchn"/>
    <w:basedOn w:val="KommentartextZchn"/>
    <w:link w:val="Kommentarthema"/>
    <w:semiHidden/>
    <w:rsid w:val="00DA1C30"/>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 w:type="paragraph" w:styleId="Kommentarthema">
    <w:name w:val="annotation subject"/>
    <w:basedOn w:val="Kommentartext"/>
    <w:next w:val="Kommentartext"/>
    <w:link w:val="KommentarthemaZchn"/>
    <w:semiHidden/>
    <w:unhideWhenUsed/>
    <w:rsid w:val="00DA1C30"/>
    <w:rPr>
      <w:b/>
      <w:bCs/>
    </w:rPr>
  </w:style>
  <w:style w:type="character" w:customStyle="1" w:styleId="KommentarthemaZchn">
    <w:name w:val="Kommentarthema Zchn"/>
    <w:basedOn w:val="KommentartextZchn"/>
    <w:link w:val="Kommentarthema"/>
    <w:semiHidden/>
    <w:rsid w:val="00DA1C30"/>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702">
      <w:bodyDiv w:val="1"/>
      <w:marLeft w:val="0"/>
      <w:marRight w:val="0"/>
      <w:marTop w:val="0"/>
      <w:marBottom w:val="0"/>
      <w:divBdr>
        <w:top w:val="none" w:sz="0" w:space="0" w:color="auto"/>
        <w:left w:val="none" w:sz="0" w:space="0" w:color="auto"/>
        <w:bottom w:val="none" w:sz="0" w:space="0" w:color="auto"/>
        <w:right w:val="none" w:sz="0" w:space="0" w:color="auto"/>
      </w:divBdr>
    </w:div>
    <w:div w:id="14621675">
      <w:bodyDiv w:val="1"/>
      <w:marLeft w:val="0"/>
      <w:marRight w:val="0"/>
      <w:marTop w:val="0"/>
      <w:marBottom w:val="0"/>
      <w:divBdr>
        <w:top w:val="none" w:sz="0" w:space="0" w:color="auto"/>
        <w:left w:val="none" w:sz="0" w:space="0" w:color="auto"/>
        <w:bottom w:val="none" w:sz="0" w:space="0" w:color="auto"/>
        <w:right w:val="none" w:sz="0" w:space="0" w:color="auto"/>
      </w:divBdr>
      <w:divsChild>
        <w:div w:id="997079362">
          <w:marLeft w:val="446"/>
          <w:marRight w:val="0"/>
          <w:marTop w:val="40"/>
          <w:marBottom w:val="80"/>
          <w:divBdr>
            <w:top w:val="none" w:sz="0" w:space="0" w:color="auto"/>
            <w:left w:val="none" w:sz="0" w:space="0" w:color="auto"/>
            <w:bottom w:val="none" w:sz="0" w:space="0" w:color="auto"/>
            <w:right w:val="none" w:sz="0" w:space="0" w:color="auto"/>
          </w:divBdr>
        </w:div>
        <w:div w:id="964039623">
          <w:marLeft w:val="446"/>
          <w:marRight w:val="0"/>
          <w:marTop w:val="40"/>
          <w:marBottom w:val="80"/>
          <w:divBdr>
            <w:top w:val="none" w:sz="0" w:space="0" w:color="auto"/>
            <w:left w:val="none" w:sz="0" w:space="0" w:color="auto"/>
            <w:bottom w:val="none" w:sz="0" w:space="0" w:color="auto"/>
            <w:right w:val="none" w:sz="0" w:space="0" w:color="auto"/>
          </w:divBdr>
        </w:div>
        <w:div w:id="1668904507">
          <w:marLeft w:val="446"/>
          <w:marRight w:val="0"/>
          <w:marTop w:val="40"/>
          <w:marBottom w:val="80"/>
          <w:divBdr>
            <w:top w:val="none" w:sz="0" w:space="0" w:color="auto"/>
            <w:left w:val="none" w:sz="0" w:space="0" w:color="auto"/>
            <w:bottom w:val="none" w:sz="0" w:space="0" w:color="auto"/>
            <w:right w:val="none" w:sz="0" w:space="0" w:color="auto"/>
          </w:divBdr>
        </w:div>
        <w:div w:id="58677744">
          <w:marLeft w:val="446"/>
          <w:marRight w:val="0"/>
          <w:marTop w:val="40"/>
          <w:marBottom w:val="80"/>
          <w:divBdr>
            <w:top w:val="none" w:sz="0" w:space="0" w:color="auto"/>
            <w:left w:val="none" w:sz="0" w:space="0" w:color="auto"/>
            <w:bottom w:val="none" w:sz="0" w:space="0" w:color="auto"/>
            <w:right w:val="none" w:sz="0" w:space="0" w:color="auto"/>
          </w:divBdr>
        </w:div>
      </w:divsChild>
    </w:div>
    <w:div w:id="158739086">
      <w:bodyDiv w:val="1"/>
      <w:marLeft w:val="0"/>
      <w:marRight w:val="0"/>
      <w:marTop w:val="0"/>
      <w:marBottom w:val="0"/>
      <w:divBdr>
        <w:top w:val="none" w:sz="0" w:space="0" w:color="auto"/>
        <w:left w:val="none" w:sz="0" w:space="0" w:color="auto"/>
        <w:bottom w:val="none" w:sz="0" w:space="0" w:color="auto"/>
        <w:right w:val="none" w:sz="0" w:space="0" w:color="auto"/>
      </w:divBdr>
    </w:div>
    <w:div w:id="300431301">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17282283">
      <w:bodyDiv w:val="1"/>
      <w:marLeft w:val="0"/>
      <w:marRight w:val="0"/>
      <w:marTop w:val="0"/>
      <w:marBottom w:val="0"/>
      <w:divBdr>
        <w:top w:val="none" w:sz="0" w:space="0" w:color="auto"/>
        <w:left w:val="none" w:sz="0" w:space="0" w:color="auto"/>
        <w:bottom w:val="none" w:sz="0" w:space="0" w:color="auto"/>
        <w:right w:val="none" w:sz="0" w:space="0" w:color="auto"/>
      </w:divBdr>
    </w:div>
    <w:div w:id="527527508">
      <w:bodyDiv w:val="1"/>
      <w:marLeft w:val="0"/>
      <w:marRight w:val="0"/>
      <w:marTop w:val="0"/>
      <w:marBottom w:val="0"/>
      <w:divBdr>
        <w:top w:val="none" w:sz="0" w:space="0" w:color="auto"/>
        <w:left w:val="none" w:sz="0" w:space="0" w:color="auto"/>
        <w:bottom w:val="none" w:sz="0" w:space="0" w:color="auto"/>
        <w:right w:val="none" w:sz="0" w:space="0" w:color="auto"/>
      </w:divBdr>
    </w:div>
    <w:div w:id="756826147">
      <w:bodyDiv w:val="1"/>
      <w:marLeft w:val="0"/>
      <w:marRight w:val="0"/>
      <w:marTop w:val="0"/>
      <w:marBottom w:val="0"/>
      <w:divBdr>
        <w:top w:val="none" w:sz="0" w:space="0" w:color="auto"/>
        <w:left w:val="none" w:sz="0" w:space="0" w:color="auto"/>
        <w:bottom w:val="none" w:sz="0" w:space="0" w:color="auto"/>
        <w:right w:val="none" w:sz="0" w:space="0" w:color="auto"/>
      </w:divBdr>
      <w:divsChild>
        <w:div w:id="1401172072">
          <w:marLeft w:val="446"/>
          <w:marRight w:val="0"/>
          <w:marTop w:val="0"/>
          <w:marBottom w:val="60"/>
          <w:divBdr>
            <w:top w:val="none" w:sz="0" w:space="0" w:color="auto"/>
            <w:left w:val="none" w:sz="0" w:space="0" w:color="auto"/>
            <w:bottom w:val="none" w:sz="0" w:space="0" w:color="auto"/>
            <w:right w:val="none" w:sz="0" w:space="0" w:color="auto"/>
          </w:divBdr>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46349944">
      <w:bodyDiv w:val="1"/>
      <w:marLeft w:val="0"/>
      <w:marRight w:val="0"/>
      <w:marTop w:val="0"/>
      <w:marBottom w:val="0"/>
      <w:divBdr>
        <w:top w:val="none" w:sz="0" w:space="0" w:color="auto"/>
        <w:left w:val="none" w:sz="0" w:space="0" w:color="auto"/>
        <w:bottom w:val="none" w:sz="0" w:space="0" w:color="auto"/>
        <w:right w:val="none" w:sz="0" w:space="0" w:color="auto"/>
      </w:divBdr>
      <w:divsChild>
        <w:div w:id="1646087281">
          <w:marLeft w:val="274"/>
          <w:marRight w:val="0"/>
          <w:marTop w:val="0"/>
          <w:marBottom w:val="60"/>
          <w:divBdr>
            <w:top w:val="none" w:sz="0" w:space="0" w:color="auto"/>
            <w:left w:val="none" w:sz="0" w:space="0" w:color="auto"/>
            <w:bottom w:val="none" w:sz="0" w:space="0" w:color="auto"/>
            <w:right w:val="none" w:sz="0" w:space="0" w:color="auto"/>
          </w:divBdr>
        </w:div>
      </w:divsChild>
    </w:div>
    <w:div w:id="960842873">
      <w:bodyDiv w:val="1"/>
      <w:marLeft w:val="0"/>
      <w:marRight w:val="0"/>
      <w:marTop w:val="0"/>
      <w:marBottom w:val="0"/>
      <w:divBdr>
        <w:top w:val="none" w:sz="0" w:space="0" w:color="auto"/>
        <w:left w:val="none" w:sz="0" w:space="0" w:color="auto"/>
        <w:bottom w:val="none" w:sz="0" w:space="0" w:color="auto"/>
        <w:right w:val="none" w:sz="0" w:space="0" w:color="auto"/>
      </w:divBdr>
    </w:div>
    <w:div w:id="1049306580">
      <w:bodyDiv w:val="1"/>
      <w:marLeft w:val="0"/>
      <w:marRight w:val="0"/>
      <w:marTop w:val="0"/>
      <w:marBottom w:val="0"/>
      <w:divBdr>
        <w:top w:val="none" w:sz="0" w:space="0" w:color="auto"/>
        <w:left w:val="none" w:sz="0" w:space="0" w:color="auto"/>
        <w:bottom w:val="none" w:sz="0" w:space="0" w:color="auto"/>
        <w:right w:val="none" w:sz="0" w:space="0" w:color="auto"/>
      </w:divBdr>
    </w:div>
    <w:div w:id="1117529163">
      <w:bodyDiv w:val="1"/>
      <w:marLeft w:val="0"/>
      <w:marRight w:val="0"/>
      <w:marTop w:val="0"/>
      <w:marBottom w:val="0"/>
      <w:divBdr>
        <w:top w:val="none" w:sz="0" w:space="0" w:color="auto"/>
        <w:left w:val="none" w:sz="0" w:space="0" w:color="auto"/>
        <w:bottom w:val="none" w:sz="0" w:space="0" w:color="auto"/>
        <w:right w:val="none" w:sz="0" w:space="0" w:color="auto"/>
      </w:divBdr>
      <w:divsChild>
        <w:div w:id="926618100">
          <w:marLeft w:val="0"/>
          <w:marRight w:val="0"/>
          <w:marTop w:val="0"/>
          <w:marBottom w:val="0"/>
          <w:divBdr>
            <w:top w:val="none" w:sz="0" w:space="0" w:color="auto"/>
            <w:left w:val="none" w:sz="0" w:space="0" w:color="auto"/>
            <w:bottom w:val="none" w:sz="0" w:space="0" w:color="auto"/>
            <w:right w:val="none" w:sz="0" w:space="0" w:color="auto"/>
          </w:divBdr>
          <w:divsChild>
            <w:div w:id="1098215750">
              <w:marLeft w:val="0"/>
              <w:marRight w:val="0"/>
              <w:marTop w:val="0"/>
              <w:marBottom w:val="0"/>
              <w:divBdr>
                <w:top w:val="none" w:sz="0" w:space="0" w:color="auto"/>
                <w:left w:val="none" w:sz="0" w:space="0" w:color="auto"/>
                <w:bottom w:val="none" w:sz="0" w:space="0" w:color="auto"/>
                <w:right w:val="none" w:sz="0" w:space="0" w:color="auto"/>
              </w:divBdr>
              <w:divsChild>
                <w:div w:id="1408722332">
                  <w:marLeft w:val="0"/>
                  <w:marRight w:val="0"/>
                  <w:marTop w:val="375"/>
                  <w:marBottom w:val="0"/>
                  <w:divBdr>
                    <w:top w:val="single" w:sz="6" w:space="0" w:color="CCCCCC"/>
                    <w:left w:val="single" w:sz="6" w:space="0" w:color="CCCCCC"/>
                    <w:bottom w:val="single" w:sz="6" w:space="0" w:color="CCCCCC"/>
                    <w:right w:val="single" w:sz="6" w:space="0" w:color="CCCCCC"/>
                  </w:divBdr>
                  <w:divsChild>
                    <w:div w:id="152543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46068340">
      <w:bodyDiv w:val="1"/>
      <w:marLeft w:val="0"/>
      <w:marRight w:val="0"/>
      <w:marTop w:val="0"/>
      <w:marBottom w:val="0"/>
      <w:divBdr>
        <w:top w:val="none" w:sz="0" w:space="0" w:color="auto"/>
        <w:left w:val="none" w:sz="0" w:space="0" w:color="auto"/>
        <w:bottom w:val="none" w:sz="0" w:space="0" w:color="auto"/>
        <w:right w:val="none" w:sz="0" w:space="0" w:color="auto"/>
      </w:divBdr>
    </w:div>
    <w:div w:id="1249341680">
      <w:bodyDiv w:val="1"/>
      <w:marLeft w:val="0"/>
      <w:marRight w:val="0"/>
      <w:marTop w:val="0"/>
      <w:marBottom w:val="0"/>
      <w:divBdr>
        <w:top w:val="none" w:sz="0" w:space="0" w:color="auto"/>
        <w:left w:val="none" w:sz="0" w:space="0" w:color="auto"/>
        <w:bottom w:val="none" w:sz="0" w:space="0" w:color="auto"/>
        <w:right w:val="none" w:sz="0" w:space="0" w:color="auto"/>
      </w:divBdr>
    </w:div>
    <w:div w:id="125948753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502314212">
      <w:bodyDiv w:val="1"/>
      <w:marLeft w:val="0"/>
      <w:marRight w:val="0"/>
      <w:marTop w:val="0"/>
      <w:marBottom w:val="0"/>
      <w:divBdr>
        <w:top w:val="none" w:sz="0" w:space="0" w:color="auto"/>
        <w:left w:val="none" w:sz="0" w:space="0" w:color="auto"/>
        <w:bottom w:val="none" w:sz="0" w:space="0" w:color="auto"/>
        <w:right w:val="none" w:sz="0" w:space="0" w:color="auto"/>
      </w:divBdr>
      <w:divsChild>
        <w:div w:id="1469318814">
          <w:marLeft w:val="1166"/>
          <w:marRight w:val="0"/>
          <w:marTop w:val="0"/>
          <w:marBottom w:val="60"/>
          <w:divBdr>
            <w:top w:val="none" w:sz="0" w:space="0" w:color="auto"/>
            <w:left w:val="none" w:sz="0" w:space="0" w:color="auto"/>
            <w:bottom w:val="none" w:sz="0" w:space="0" w:color="auto"/>
            <w:right w:val="none" w:sz="0" w:space="0" w:color="auto"/>
          </w:divBdr>
        </w:div>
      </w:divsChild>
    </w:div>
    <w:div w:id="1616595093">
      <w:bodyDiv w:val="1"/>
      <w:marLeft w:val="0"/>
      <w:marRight w:val="0"/>
      <w:marTop w:val="0"/>
      <w:marBottom w:val="0"/>
      <w:divBdr>
        <w:top w:val="none" w:sz="0" w:space="0" w:color="auto"/>
        <w:left w:val="none" w:sz="0" w:space="0" w:color="auto"/>
        <w:bottom w:val="none" w:sz="0" w:space="0" w:color="auto"/>
        <w:right w:val="none" w:sz="0" w:space="0" w:color="auto"/>
      </w:divBdr>
    </w:div>
    <w:div w:id="1720545035">
      <w:bodyDiv w:val="1"/>
      <w:marLeft w:val="0"/>
      <w:marRight w:val="0"/>
      <w:marTop w:val="0"/>
      <w:marBottom w:val="0"/>
      <w:divBdr>
        <w:top w:val="none" w:sz="0" w:space="0" w:color="auto"/>
        <w:left w:val="none" w:sz="0" w:space="0" w:color="auto"/>
        <w:bottom w:val="none" w:sz="0" w:space="0" w:color="auto"/>
        <w:right w:val="none" w:sz="0" w:space="0" w:color="auto"/>
      </w:divBdr>
    </w:div>
    <w:div w:id="191465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investor_relations/finanzberichte" TargetMode="External"/><Relationship Id="rId5" Type="http://schemas.openxmlformats.org/officeDocument/2006/relationships/settings" Target="settings.xml"/><Relationship Id="rId15" Type="http://schemas.openxmlformats.org/officeDocument/2006/relationships/hyperlink" Target="http://www.schulergroup.com" TargetMode="External"/><Relationship Id="rId10" Type="http://schemas.openxmlformats.org/officeDocument/2006/relationships/hyperlink" Target="http://www.schulergroup.com/p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Hans.Obermeier@schulergroup.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1E429-E27E-4978-8388-A6CA24DC5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1369</Words>
  <Characters>7731</Characters>
  <Application>Microsoft Office Word</Application>
  <DocSecurity>4</DocSecurity>
  <Lines>64</Lines>
  <Paragraphs>18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9082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Simon Scherrenbacher</cp:lastModifiedBy>
  <cp:revision>2</cp:revision>
  <cp:lastPrinted>2017-02-07T08:41:00Z</cp:lastPrinted>
  <dcterms:created xsi:type="dcterms:W3CDTF">2017-03-02T12:58:00Z</dcterms:created>
  <dcterms:modified xsi:type="dcterms:W3CDTF">2017-03-02T12:58:00Z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1527717063</vt:i4>
  </property>
  <property fmtid="{D5CDD505-2E9C-101B-9397-08002B2CF9AE}" pid="4" name="_EmailSubject">
    <vt:lpwstr>Übersetzung Pressemeldung zur Bilanzpressekonferenz</vt:lpwstr>
  </property>
  <property fmtid="{D5CDD505-2E9C-101B-9397-08002B2CF9AE}" pid="5" name="_AuthorEmail">
    <vt:lpwstr>Anne-Katrin.Koehler@schulergroup.com</vt:lpwstr>
  </property>
  <property fmtid="{D5CDD505-2E9C-101B-9397-08002B2CF9AE}" pid="6" name="_AuthorEmailDisplayName">
    <vt:lpwstr>Koehler, Anne-Katrin &lt;Anne-Katrin.Koehler@schulergroup.com&gt;</vt:lpwstr>
  </property>
  <property fmtid="{D5CDD505-2E9C-101B-9397-08002B2CF9AE}" pid="7" name="_PreviousAdHocReviewCycleID">
    <vt:i4>-538793496</vt:i4>
  </property>
  <property fmtid="{D5CDD505-2E9C-101B-9397-08002B2CF9AE}" pid="8" name="_ReviewingToolsShownOnce">
    <vt:lpwstr/>
  </property>
</Properties>
</file>