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7A899" w14:textId="6D0FD448" w:rsidR="00595D96" w:rsidRPr="00044F3C" w:rsidRDefault="00044F3C" w:rsidP="00365A9E">
      <w:pPr>
        <w:pStyle w:val="berschrift1"/>
        <w:rPr>
          <w:lang w:val="en-US"/>
        </w:rPr>
      </w:pPr>
      <w:r w:rsidRPr="00106542">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F2A76" w:rsidRPr="00044F3C" w14:paraId="3D520C8A" w14:textId="77777777" w:rsidTr="00432CC7">
        <w:trPr>
          <w:trHeight w:hRule="exact" w:val="2977"/>
        </w:trPr>
        <w:tc>
          <w:tcPr>
            <w:tcW w:w="2409" w:type="dxa"/>
            <w:shd w:val="clear" w:color="auto" w:fill="auto"/>
          </w:tcPr>
          <w:p w14:paraId="783BE49F" w14:textId="77777777" w:rsidR="00AF2A76" w:rsidRPr="003C3641" w:rsidRDefault="00AF2A76" w:rsidP="00AF2A76">
            <w:pPr>
              <w:spacing w:line="226" w:lineRule="exact"/>
              <w:rPr>
                <w:rFonts w:eastAsia="Calibri"/>
                <w:b/>
                <w:sz w:val="17"/>
                <w:szCs w:val="17"/>
                <w:lang w:eastAsia="en-US"/>
              </w:rPr>
            </w:pPr>
            <w:r w:rsidRPr="003C3641">
              <w:rPr>
                <w:rFonts w:eastAsia="Calibri"/>
                <w:b/>
                <w:sz w:val="17"/>
                <w:szCs w:val="17"/>
                <w:lang w:eastAsia="en-US"/>
              </w:rPr>
              <w:t>Schuler AG</w:t>
            </w:r>
          </w:p>
          <w:p w14:paraId="2CBEAF4F" w14:textId="36FEE81D" w:rsidR="00AF2A76" w:rsidRPr="003C3641" w:rsidRDefault="00AF2A76" w:rsidP="00AF2A76">
            <w:pPr>
              <w:spacing w:line="226" w:lineRule="exact"/>
              <w:rPr>
                <w:rFonts w:eastAsia="Calibri"/>
                <w:sz w:val="17"/>
                <w:szCs w:val="17"/>
                <w:lang w:eastAsia="en-US"/>
              </w:rPr>
            </w:pPr>
            <w:r w:rsidRPr="003C3641">
              <w:rPr>
                <w:rFonts w:eastAsia="Calibri"/>
                <w:sz w:val="17"/>
                <w:szCs w:val="17"/>
                <w:lang w:eastAsia="en-US"/>
              </w:rPr>
              <w:t>Bahnhofstra</w:t>
            </w:r>
            <w:r w:rsidR="006906BA" w:rsidRPr="003C3641">
              <w:rPr>
                <w:rFonts w:eastAsia="Calibri"/>
                <w:sz w:val="17"/>
                <w:szCs w:val="17"/>
                <w:lang w:eastAsia="en-US"/>
              </w:rPr>
              <w:t>ss</w:t>
            </w:r>
            <w:r w:rsidRPr="003C3641">
              <w:rPr>
                <w:rFonts w:eastAsia="Calibri"/>
                <w:sz w:val="17"/>
                <w:szCs w:val="17"/>
                <w:lang w:eastAsia="en-US"/>
              </w:rPr>
              <w:t>e 41</w:t>
            </w:r>
          </w:p>
          <w:p w14:paraId="2A5833CE" w14:textId="77777777" w:rsidR="00AF2A76" w:rsidRPr="003C3641" w:rsidRDefault="00AF2A76" w:rsidP="00AF2A76">
            <w:pPr>
              <w:spacing w:line="226" w:lineRule="exact"/>
              <w:rPr>
                <w:rFonts w:eastAsia="Calibri"/>
                <w:sz w:val="17"/>
                <w:szCs w:val="17"/>
                <w:lang w:eastAsia="en-US"/>
              </w:rPr>
            </w:pPr>
            <w:r w:rsidRPr="003C3641">
              <w:rPr>
                <w:rFonts w:eastAsia="Calibri"/>
                <w:sz w:val="17"/>
                <w:szCs w:val="17"/>
                <w:lang w:eastAsia="en-US"/>
              </w:rPr>
              <w:t>73033 Göppingen</w:t>
            </w:r>
          </w:p>
          <w:p w14:paraId="68FB5F08" w14:textId="77777777" w:rsidR="00044F3C" w:rsidRPr="003C3641" w:rsidRDefault="00044F3C" w:rsidP="00044F3C">
            <w:pPr>
              <w:spacing w:line="226" w:lineRule="exact"/>
              <w:rPr>
                <w:rFonts w:eastAsia="Calibri"/>
                <w:sz w:val="17"/>
                <w:szCs w:val="17"/>
                <w:lang w:eastAsia="en-US"/>
              </w:rPr>
            </w:pPr>
            <w:r w:rsidRPr="003C3641">
              <w:rPr>
                <w:rFonts w:eastAsia="Calibri"/>
                <w:sz w:val="17"/>
                <w:szCs w:val="17"/>
                <w:lang w:eastAsia="en-US"/>
              </w:rPr>
              <w:t>Germany</w:t>
            </w:r>
          </w:p>
          <w:p w14:paraId="14C831F7" w14:textId="77777777" w:rsidR="00AF2A76" w:rsidRPr="003C3641" w:rsidRDefault="00AF2A76" w:rsidP="00AF2A76">
            <w:pPr>
              <w:spacing w:line="226" w:lineRule="exact"/>
              <w:rPr>
                <w:rFonts w:eastAsia="Calibri"/>
                <w:sz w:val="17"/>
                <w:szCs w:val="17"/>
                <w:lang w:eastAsia="en-US"/>
              </w:rPr>
            </w:pPr>
          </w:p>
          <w:p w14:paraId="5F31992F" w14:textId="77777777" w:rsidR="00AF2A76" w:rsidRPr="003C3641" w:rsidRDefault="00AF2A76" w:rsidP="00AF2A76">
            <w:pPr>
              <w:spacing w:line="226" w:lineRule="exact"/>
              <w:rPr>
                <w:rFonts w:eastAsia="Calibri"/>
                <w:b/>
                <w:sz w:val="17"/>
                <w:szCs w:val="17"/>
                <w:lang w:eastAsia="en-US"/>
              </w:rPr>
            </w:pPr>
            <w:r w:rsidRPr="003C3641">
              <w:rPr>
                <w:rFonts w:eastAsia="Calibri"/>
                <w:b/>
                <w:sz w:val="17"/>
                <w:szCs w:val="17"/>
                <w:lang w:eastAsia="en-US"/>
              </w:rPr>
              <w:t>Hans Obermeier</w:t>
            </w:r>
          </w:p>
          <w:p w14:paraId="0CCE92B8" w14:textId="6B1BC692" w:rsidR="00AF2A76" w:rsidRPr="00044F3C" w:rsidRDefault="00AF2A76" w:rsidP="00AF2A76">
            <w:pPr>
              <w:spacing w:line="226" w:lineRule="exact"/>
              <w:rPr>
                <w:rFonts w:eastAsia="Calibri"/>
                <w:sz w:val="17"/>
                <w:szCs w:val="17"/>
                <w:lang w:val="en-US" w:eastAsia="en-US"/>
              </w:rPr>
            </w:pPr>
            <w:r w:rsidRPr="00044F3C">
              <w:rPr>
                <w:rFonts w:eastAsia="Calibri"/>
                <w:sz w:val="17"/>
                <w:szCs w:val="17"/>
                <w:lang w:val="en-US" w:eastAsia="en-US"/>
              </w:rPr>
              <w:t>Press</w:t>
            </w:r>
            <w:r w:rsidR="00044F3C">
              <w:rPr>
                <w:rFonts w:eastAsia="Calibri"/>
                <w:sz w:val="17"/>
                <w:szCs w:val="17"/>
                <w:lang w:val="en-US" w:eastAsia="en-US"/>
              </w:rPr>
              <w:t xml:space="preserve"> Spokesman</w:t>
            </w:r>
          </w:p>
          <w:p w14:paraId="6BDF4CDF" w14:textId="010B32A3" w:rsidR="00AF2A76" w:rsidRPr="00044F3C" w:rsidRDefault="00044F3C" w:rsidP="00AF2A76">
            <w:pPr>
              <w:spacing w:line="226" w:lineRule="exact"/>
              <w:rPr>
                <w:rFonts w:eastAsia="Calibri"/>
                <w:sz w:val="17"/>
                <w:szCs w:val="17"/>
                <w:lang w:val="en-US" w:eastAsia="en-US"/>
              </w:rPr>
            </w:pPr>
            <w:r>
              <w:rPr>
                <w:rFonts w:eastAsia="Calibri"/>
                <w:sz w:val="17"/>
                <w:szCs w:val="17"/>
                <w:lang w:val="en-US" w:eastAsia="en-US"/>
              </w:rPr>
              <w:t>Ph</w:t>
            </w:r>
            <w:r w:rsidR="00AF2A76" w:rsidRPr="00044F3C">
              <w:rPr>
                <w:rFonts w:eastAsia="Calibri"/>
                <w:sz w:val="17"/>
                <w:szCs w:val="17"/>
                <w:lang w:val="en-US" w:eastAsia="en-US"/>
              </w:rPr>
              <w:t>on</w:t>
            </w:r>
            <w:r>
              <w:rPr>
                <w:rFonts w:eastAsia="Calibri"/>
                <w:sz w:val="17"/>
                <w:szCs w:val="17"/>
                <w:lang w:val="en-US" w:eastAsia="en-US"/>
              </w:rPr>
              <w:t>e</w:t>
            </w:r>
            <w:r w:rsidR="00AF2A76" w:rsidRPr="00044F3C">
              <w:rPr>
                <w:rFonts w:eastAsia="Calibri"/>
                <w:sz w:val="17"/>
                <w:szCs w:val="17"/>
                <w:lang w:val="en-US" w:eastAsia="en-US"/>
              </w:rPr>
              <w:t xml:space="preserve"> +49 151 1204 4531</w:t>
            </w:r>
          </w:p>
          <w:p w14:paraId="7094F168" w14:textId="77777777" w:rsidR="00AF2A76" w:rsidRPr="00044F3C" w:rsidRDefault="00AF2A76" w:rsidP="00AF2A76">
            <w:pPr>
              <w:spacing w:line="226" w:lineRule="exact"/>
              <w:rPr>
                <w:rFonts w:eastAsia="Calibri"/>
                <w:sz w:val="17"/>
                <w:szCs w:val="17"/>
                <w:lang w:val="en-US" w:eastAsia="en-US"/>
              </w:rPr>
            </w:pPr>
            <w:r w:rsidRPr="00044F3C">
              <w:rPr>
                <w:rFonts w:eastAsia="Calibri"/>
                <w:sz w:val="17"/>
                <w:szCs w:val="17"/>
                <w:lang w:val="en-US" w:eastAsia="en-US"/>
              </w:rPr>
              <w:t>Fax +49 7161 66-907</w:t>
            </w:r>
          </w:p>
          <w:p w14:paraId="1CFE204A" w14:textId="77777777" w:rsidR="00AF2A76" w:rsidRPr="00044F3C" w:rsidRDefault="00626FE1" w:rsidP="00AF2A76">
            <w:pPr>
              <w:spacing w:line="226" w:lineRule="exact"/>
              <w:rPr>
                <w:rFonts w:eastAsia="Calibri"/>
                <w:sz w:val="17"/>
                <w:szCs w:val="17"/>
                <w:lang w:val="en-US" w:eastAsia="en-US"/>
              </w:rPr>
            </w:pPr>
            <w:hyperlink r:id="rId9" w:history="1">
              <w:r w:rsidR="007D76D1" w:rsidRPr="00044F3C">
                <w:rPr>
                  <w:rStyle w:val="Hyperlink"/>
                  <w:rFonts w:eastAsia="Calibri"/>
                  <w:sz w:val="17"/>
                  <w:szCs w:val="17"/>
                  <w:lang w:val="en-US" w:eastAsia="en-US"/>
                </w:rPr>
                <w:t>Hans.Obermeier@</w:t>
              </w:r>
              <w:r w:rsidR="007D76D1" w:rsidRPr="00044F3C">
                <w:rPr>
                  <w:rStyle w:val="Hyperlink"/>
                  <w:rFonts w:eastAsia="Calibri"/>
                  <w:sz w:val="17"/>
                  <w:szCs w:val="17"/>
                  <w:lang w:val="en-US" w:eastAsia="en-US"/>
                </w:rPr>
                <w:br/>
                <w:t>schulergroup.com</w:t>
              </w:r>
            </w:hyperlink>
          </w:p>
          <w:p w14:paraId="5C2973F3" w14:textId="77777777" w:rsidR="00AF2A76" w:rsidRPr="00044F3C" w:rsidRDefault="00626FE1" w:rsidP="00AF2A76">
            <w:pPr>
              <w:spacing w:line="226" w:lineRule="exact"/>
              <w:rPr>
                <w:rFonts w:eastAsia="Calibri"/>
                <w:sz w:val="17"/>
                <w:szCs w:val="17"/>
                <w:lang w:val="en-US" w:eastAsia="en-US"/>
              </w:rPr>
            </w:pPr>
            <w:hyperlink r:id="rId10" w:history="1">
              <w:r w:rsidR="00AF2A76" w:rsidRPr="00044F3C">
                <w:rPr>
                  <w:rStyle w:val="Hyperlink"/>
                  <w:rFonts w:eastAsia="Calibri"/>
                  <w:sz w:val="17"/>
                  <w:szCs w:val="17"/>
                  <w:lang w:val="en-US" w:eastAsia="en-US"/>
                </w:rPr>
                <w:t>www.schulergroup.com/pr</w:t>
              </w:r>
            </w:hyperlink>
          </w:p>
        </w:tc>
      </w:tr>
      <w:tr w:rsidR="004C4B30" w:rsidRPr="00044F3C" w14:paraId="71DAD709" w14:textId="77777777" w:rsidTr="008E1F8F">
        <w:trPr>
          <w:trHeight w:hRule="exact" w:val="2977"/>
        </w:trPr>
        <w:tc>
          <w:tcPr>
            <w:tcW w:w="2409" w:type="dxa"/>
            <w:shd w:val="clear" w:color="auto" w:fill="auto"/>
          </w:tcPr>
          <w:p w14:paraId="0FB7ED1E" w14:textId="77777777" w:rsidR="004C4B30" w:rsidRPr="00044F3C" w:rsidRDefault="004C4B30" w:rsidP="008E1F8F">
            <w:pPr>
              <w:spacing w:line="226" w:lineRule="exact"/>
              <w:rPr>
                <w:rFonts w:eastAsia="Calibri"/>
                <w:sz w:val="17"/>
                <w:szCs w:val="17"/>
                <w:lang w:val="en-US" w:eastAsia="en-US"/>
              </w:rPr>
            </w:pPr>
          </w:p>
          <w:p w14:paraId="1E10495A" w14:textId="77777777" w:rsidR="004C4B30" w:rsidRPr="00044F3C" w:rsidRDefault="004C4B30" w:rsidP="008E1F8F">
            <w:pPr>
              <w:spacing w:line="226" w:lineRule="exact"/>
              <w:rPr>
                <w:rFonts w:eastAsia="Calibri"/>
                <w:sz w:val="17"/>
                <w:szCs w:val="17"/>
                <w:lang w:val="en-US" w:eastAsia="en-US"/>
              </w:rPr>
            </w:pPr>
          </w:p>
        </w:tc>
      </w:tr>
    </w:tbl>
    <w:p w14:paraId="6E753F26" w14:textId="77777777" w:rsidR="00476D9C" w:rsidRPr="00044F3C" w:rsidRDefault="00476D9C" w:rsidP="007E132D">
      <w:pPr>
        <w:rPr>
          <w:lang w:val="en-US"/>
        </w:rPr>
      </w:pPr>
    </w:p>
    <w:p w14:paraId="230480EE" w14:textId="77777777" w:rsidR="00476D9C" w:rsidRPr="00044F3C" w:rsidRDefault="00476D9C" w:rsidP="007E132D">
      <w:pPr>
        <w:rPr>
          <w:lang w:val="en-US"/>
        </w:rPr>
      </w:pPr>
    </w:p>
    <w:p w14:paraId="7ED2E221" w14:textId="77777777" w:rsidR="00476D9C" w:rsidRDefault="00476D9C" w:rsidP="007E132D">
      <w:pPr>
        <w:rPr>
          <w:lang w:val="en-US"/>
        </w:rPr>
      </w:pPr>
    </w:p>
    <w:p w14:paraId="045003AE" w14:textId="77777777" w:rsidR="003C3641" w:rsidRPr="00044F3C" w:rsidRDefault="003C3641" w:rsidP="007E132D">
      <w:pPr>
        <w:rPr>
          <w:lang w:val="en-US"/>
        </w:rPr>
      </w:pPr>
    </w:p>
    <w:p w14:paraId="7B3A0A9D" w14:textId="75A75935" w:rsidR="00476D9C" w:rsidRPr="00044F3C" w:rsidRDefault="00613B51" w:rsidP="00365A9E">
      <w:pPr>
        <w:pStyle w:val="berschrift1"/>
        <w:rPr>
          <w:sz w:val="2"/>
          <w:lang w:val="en-US"/>
        </w:rPr>
      </w:pPr>
      <w:r>
        <w:rPr>
          <w:lang w:val="en-US"/>
        </w:rPr>
        <w:t>Further</w:t>
      </w:r>
      <w:r w:rsidR="00044F3C">
        <w:rPr>
          <w:lang w:val="en-US"/>
        </w:rPr>
        <w:t xml:space="preserve"> growth in S</w:t>
      </w:r>
      <w:r w:rsidR="005700A9" w:rsidRPr="00044F3C">
        <w:rPr>
          <w:lang w:val="en-US"/>
        </w:rPr>
        <w:t>chuler</w:t>
      </w:r>
      <w:r w:rsidR="00044F3C">
        <w:rPr>
          <w:lang w:val="en-US"/>
        </w:rPr>
        <w:t>’s</w:t>
      </w:r>
      <w:r w:rsidR="005700A9" w:rsidRPr="00044F3C">
        <w:rPr>
          <w:lang w:val="en-US"/>
        </w:rPr>
        <w:t xml:space="preserve"> </w:t>
      </w:r>
      <w:r w:rsidR="006C730C" w:rsidRPr="00044F3C">
        <w:rPr>
          <w:lang w:val="en-US"/>
        </w:rPr>
        <w:t>operati</w:t>
      </w:r>
      <w:r w:rsidR="00044F3C">
        <w:rPr>
          <w:lang w:val="en-US"/>
        </w:rPr>
        <w:t>ng results</w:t>
      </w:r>
    </w:p>
    <w:p w14:paraId="7CB62856" w14:textId="7DABDD04" w:rsidR="006C730C" w:rsidRPr="00044F3C" w:rsidRDefault="00613B51" w:rsidP="0047180C">
      <w:pPr>
        <w:pStyle w:val="berschrift2"/>
        <w:numPr>
          <w:ilvl w:val="0"/>
          <w:numId w:val="14"/>
        </w:numPr>
        <w:rPr>
          <w:lang w:val="en-US"/>
        </w:rPr>
      </w:pPr>
      <w:r>
        <w:rPr>
          <w:lang w:val="en-US"/>
        </w:rPr>
        <w:t>Record a</w:t>
      </w:r>
      <w:r w:rsidR="00044F3C">
        <w:rPr>
          <w:lang w:val="en-US"/>
        </w:rPr>
        <w:t xml:space="preserve">djusted </w:t>
      </w:r>
      <w:r>
        <w:rPr>
          <w:lang w:val="en-US"/>
        </w:rPr>
        <w:t xml:space="preserve">operating result (EBITDA) </w:t>
      </w:r>
    </w:p>
    <w:p w14:paraId="73365C75" w14:textId="42A443C3" w:rsidR="00476D9C" w:rsidRPr="00044F3C" w:rsidRDefault="00044F3C" w:rsidP="0047180C">
      <w:pPr>
        <w:pStyle w:val="berschrift2"/>
        <w:numPr>
          <w:ilvl w:val="0"/>
          <w:numId w:val="14"/>
        </w:numPr>
        <w:rPr>
          <w:lang w:val="en-US"/>
        </w:rPr>
      </w:pPr>
      <w:r>
        <w:rPr>
          <w:lang w:val="en-US"/>
        </w:rPr>
        <w:t>Increased equity ratio a</w:t>
      </w:r>
      <w:r w:rsidR="00983A2F" w:rsidRPr="00044F3C">
        <w:rPr>
          <w:lang w:val="en-US"/>
        </w:rPr>
        <w:t xml:space="preserve">nd </w:t>
      </w:r>
      <w:r>
        <w:rPr>
          <w:lang w:val="en-US"/>
        </w:rPr>
        <w:t>capital expenditures</w:t>
      </w:r>
    </w:p>
    <w:p w14:paraId="0785E008" w14:textId="335D4C46" w:rsidR="00692415" w:rsidRPr="00044F3C" w:rsidRDefault="00044F3C" w:rsidP="00692415">
      <w:pPr>
        <w:pStyle w:val="berschrift2"/>
        <w:numPr>
          <w:ilvl w:val="0"/>
          <w:numId w:val="14"/>
        </w:numPr>
        <w:rPr>
          <w:lang w:val="en-US"/>
        </w:rPr>
      </w:pPr>
      <w:r>
        <w:rPr>
          <w:lang w:val="en-US"/>
        </w:rPr>
        <w:t xml:space="preserve">Acquisition of </w:t>
      </w:r>
      <w:r w:rsidR="00692415" w:rsidRPr="00044F3C">
        <w:rPr>
          <w:lang w:val="en-US"/>
        </w:rPr>
        <w:t xml:space="preserve">Yadon </w:t>
      </w:r>
      <w:r>
        <w:rPr>
          <w:lang w:val="en-US"/>
        </w:rPr>
        <w:t>expands pre</w:t>
      </w:r>
      <w:r w:rsidR="00692415" w:rsidRPr="00044F3C">
        <w:rPr>
          <w:lang w:val="en-US"/>
        </w:rPr>
        <w:t>sen</w:t>
      </w:r>
      <w:r>
        <w:rPr>
          <w:lang w:val="en-US"/>
        </w:rPr>
        <w:t>ce</w:t>
      </w:r>
      <w:r w:rsidR="00692415" w:rsidRPr="00044F3C">
        <w:rPr>
          <w:lang w:val="en-US"/>
        </w:rPr>
        <w:t xml:space="preserve"> in China </w:t>
      </w:r>
    </w:p>
    <w:p w14:paraId="35F03932" w14:textId="77777777" w:rsidR="00AF2A76" w:rsidRPr="00044F3C" w:rsidRDefault="00AF2A76" w:rsidP="00AF2A76">
      <w:pPr>
        <w:rPr>
          <w:lang w:val="en-US"/>
        </w:rPr>
      </w:pPr>
    </w:p>
    <w:p w14:paraId="3362EFFF" w14:textId="65642C67" w:rsidR="00A354D8" w:rsidRDefault="00C82B81" w:rsidP="00E50F8F">
      <w:pPr>
        <w:rPr>
          <w:lang w:val="en-US"/>
        </w:rPr>
      </w:pPr>
      <w:r w:rsidRPr="00044F3C">
        <w:rPr>
          <w:i/>
          <w:lang w:val="en-US"/>
        </w:rPr>
        <w:t>Göppingen,</w:t>
      </w:r>
      <w:r w:rsidR="00044F3C">
        <w:rPr>
          <w:i/>
          <w:lang w:val="en-US"/>
        </w:rPr>
        <w:t xml:space="preserve"> March</w:t>
      </w:r>
      <w:r w:rsidRPr="00044F3C">
        <w:rPr>
          <w:i/>
          <w:lang w:val="en-US"/>
        </w:rPr>
        <w:t xml:space="preserve"> </w:t>
      </w:r>
      <w:r w:rsidR="00DC5DAA" w:rsidRPr="00044F3C">
        <w:rPr>
          <w:i/>
          <w:lang w:val="en-US"/>
        </w:rPr>
        <w:t>4</w:t>
      </w:r>
      <w:r w:rsidR="00044F3C">
        <w:rPr>
          <w:i/>
          <w:lang w:val="en-US"/>
        </w:rPr>
        <w:t xml:space="preserve">, </w:t>
      </w:r>
      <w:r w:rsidR="005833D5" w:rsidRPr="00044F3C">
        <w:rPr>
          <w:i/>
          <w:lang w:val="en-US"/>
        </w:rPr>
        <w:t>201</w:t>
      </w:r>
      <w:r w:rsidR="00DC5DAA" w:rsidRPr="00044F3C">
        <w:rPr>
          <w:i/>
          <w:lang w:val="en-US"/>
        </w:rPr>
        <w:t>6</w:t>
      </w:r>
      <w:r w:rsidR="005833D5" w:rsidRPr="00044F3C">
        <w:rPr>
          <w:i/>
          <w:lang w:val="en-US"/>
        </w:rPr>
        <w:t xml:space="preserve"> </w:t>
      </w:r>
      <w:r w:rsidR="000F2F77" w:rsidRPr="00044F3C">
        <w:rPr>
          <w:lang w:val="en-US"/>
        </w:rPr>
        <w:t>–</w:t>
      </w:r>
      <w:r w:rsidR="00E23EF1" w:rsidRPr="00044F3C">
        <w:rPr>
          <w:lang w:val="en-US"/>
        </w:rPr>
        <w:t xml:space="preserve"> </w:t>
      </w:r>
      <w:r w:rsidR="00044F3C">
        <w:rPr>
          <w:lang w:val="en-US"/>
        </w:rPr>
        <w:t>The</w:t>
      </w:r>
      <w:r w:rsidR="00044F3C" w:rsidRPr="00106542">
        <w:rPr>
          <w:lang w:val="en-US"/>
        </w:rPr>
        <w:t xml:space="preserve"> </w:t>
      </w:r>
      <w:r w:rsidR="00044F3C">
        <w:rPr>
          <w:lang w:val="en-US"/>
        </w:rPr>
        <w:t>p</w:t>
      </w:r>
      <w:r w:rsidR="00044F3C" w:rsidRPr="00106542">
        <w:rPr>
          <w:lang w:val="en-US"/>
        </w:rPr>
        <w:t>ress</w:t>
      </w:r>
      <w:r w:rsidR="00044F3C">
        <w:rPr>
          <w:lang w:val="en-US"/>
        </w:rPr>
        <w:t xml:space="preserve"> manufacturer </w:t>
      </w:r>
      <w:r w:rsidR="00044F3C" w:rsidRPr="00106542">
        <w:rPr>
          <w:lang w:val="en-US"/>
        </w:rPr>
        <w:t xml:space="preserve">Schuler </w:t>
      </w:r>
      <w:r w:rsidR="00DC5DAA" w:rsidRPr="00044F3C">
        <w:rPr>
          <w:lang w:val="en-US"/>
        </w:rPr>
        <w:t xml:space="preserve">AG </w:t>
      </w:r>
      <w:r w:rsidR="00613B51">
        <w:rPr>
          <w:lang w:val="en-US"/>
        </w:rPr>
        <w:t>achieved further improvements in</w:t>
      </w:r>
      <w:r w:rsidR="00044F3C">
        <w:rPr>
          <w:lang w:val="en-US"/>
        </w:rPr>
        <w:t xml:space="preserve"> sales a</w:t>
      </w:r>
      <w:r w:rsidR="00DC5DAA" w:rsidRPr="00044F3C">
        <w:rPr>
          <w:lang w:val="en-US"/>
        </w:rPr>
        <w:t xml:space="preserve">nd </w:t>
      </w:r>
      <w:r w:rsidR="00044F3C">
        <w:rPr>
          <w:lang w:val="en-US"/>
        </w:rPr>
        <w:t xml:space="preserve">adjusted earnings in its fiscal year </w:t>
      </w:r>
      <w:r w:rsidR="00DC5DAA" w:rsidRPr="00044F3C">
        <w:rPr>
          <w:lang w:val="en-US"/>
        </w:rPr>
        <w:t xml:space="preserve">2015. </w:t>
      </w:r>
      <w:r w:rsidR="00044F3C">
        <w:rPr>
          <w:lang w:val="en-US"/>
        </w:rPr>
        <w:t>At € 1.</w:t>
      </w:r>
      <w:r w:rsidR="00B473D6" w:rsidRPr="00044F3C">
        <w:rPr>
          <w:lang w:val="en-US"/>
        </w:rPr>
        <w:t>20 (</w:t>
      </w:r>
      <w:r w:rsidR="00044F3C">
        <w:rPr>
          <w:lang w:val="en-US"/>
        </w:rPr>
        <w:t>prior year: 1.</w:t>
      </w:r>
      <w:r w:rsidR="00B473D6" w:rsidRPr="00044F3C">
        <w:rPr>
          <w:lang w:val="en-US"/>
        </w:rPr>
        <w:t xml:space="preserve">18) </w:t>
      </w:r>
      <w:r w:rsidR="00044F3C">
        <w:rPr>
          <w:lang w:val="en-US"/>
        </w:rPr>
        <w:t xml:space="preserve">billion, sales reached their second-highest level in the company’s </w:t>
      </w:r>
      <w:r w:rsidR="00B473D6" w:rsidRPr="00044F3C">
        <w:rPr>
          <w:lang w:val="en-US"/>
        </w:rPr>
        <w:t>176</w:t>
      </w:r>
      <w:r w:rsidR="00044F3C">
        <w:rPr>
          <w:lang w:val="en-US"/>
        </w:rPr>
        <w:t>-year history</w:t>
      </w:r>
      <w:r w:rsidR="00B473D6" w:rsidRPr="00044F3C">
        <w:rPr>
          <w:lang w:val="en-US"/>
        </w:rPr>
        <w:t xml:space="preserve">. </w:t>
      </w:r>
      <w:r w:rsidR="00044F3C">
        <w:rPr>
          <w:lang w:val="en-US"/>
        </w:rPr>
        <w:t xml:space="preserve">Earnings even set a new record: the operating result </w:t>
      </w:r>
      <w:r w:rsidR="00B473D6" w:rsidRPr="00044F3C">
        <w:rPr>
          <w:lang w:val="en-US"/>
        </w:rPr>
        <w:t>(EBITDA)</w:t>
      </w:r>
      <w:r w:rsidR="00044F3C">
        <w:rPr>
          <w:lang w:val="en-US"/>
        </w:rPr>
        <w:t xml:space="preserve"> adjusted for one-off effects from the </w:t>
      </w:r>
      <w:r w:rsidR="001F02CA" w:rsidRPr="00044F3C">
        <w:rPr>
          <w:lang w:val="en-US"/>
        </w:rPr>
        <w:t>ne</w:t>
      </w:r>
      <w:r w:rsidR="00044F3C">
        <w:rPr>
          <w:lang w:val="en-US"/>
        </w:rPr>
        <w:t>w manufacturing concept reached € </w:t>
      </w:r>
      <w:r w:rsidR="00B473D6" w:rsidRPr="00044F3C">
        <w:rPr>
          <w:lang w:val="en-US"/>
        </w:rPr>
        <w:t>1</w:t>
      </w:r>
      <w:r w:rsidR="00044F3C">
        <w:rPr>
          <w:lang w:val="en-US"/>
        </w:rPr>
        <w:t>38.</w:t>
      </w:r>
      <w:r w:rsidR="00123E82" w:rsidRPr="00044F3C">
        <w:rPr>
          <w:lang w:val="en-US"/>
        </w:rPr>
        <w:t>8</w:t>
      </w:r>
      <w:r w:rsidR="00044F3C">
        <w:rPr>
          <w:lang w:val="en-US"/>
        </w:rPr>
        <w:t xml:space="preserve"> (110.</w:t>
      </w:r>
      <w:r w:rsidR="00B473D6" w:rsidRPr="00044F3C">
        <w:rPr>
          <w:lang w:val="en-US"/>
        </w:rPr>
        <w:t xml:space="preserve">5) </w:t>
      </w:r>
      <w:r w:rsidR="00044F3C">
        <w:rPr>
          <w:lang w:val="en-US"/>
        </w:rPr>
        <w:t>million</w:t>
      </w:r>
      <w:r w:rsidR="00B473D6" w:rsidRPr="00044F3C">
        <w:rPr>
          <w:lang w:val="en-US"/>
        </w:rPr>
        <w:t xml:space="preserve">. </w:t>
      </w:r>
      <w:r w:rsidR="00A354D8">
        <w:rPr>
          <w:lang w:val="en-US"/>
        </w:rPr>
        <w:t>This resulted in an EBITDA margin of 11.6 (9.4) percent.</w:t>
      </w:r>
    </w:p>
    <w:p w14:paraId="4160FCB4" w14:textId="77777777" w:rsidR="00A354D8" w:rsidRDefault="00A354D8" w:rsidP="00E50F8F">
      <w:pPr>
        <w:rPr>
          <w:lang w:val="en-US"/>
        </w:rPr>
      </w:pPr>
    </w:p>
    <w:p w14:paraId="5BCF0609" w14:textId="4F085C7C" w:rsidR="004D48E7" w:rsidRPr="00044F3C" w:rsidRDefault="00044F3C" w:rsidP="00E50F8F">
      <w:pPr>
        <w:rPr>
          <w:lang w:val="en-US"/>
        </w:rPr>
      </w:pPr>
      <w:r>
        <w:rPr>
          <w:lang w:val="en-US"/>
        </w:rPr>
        <w:t xml:space="preserve">“Our strongest </w:t>
      </w:r>
      <w:r w:rsidR="00613B51">
        <w:rPr>
          <w:lang w:val="en-US"/>
        </w:rPr>
        <w:t xml:space="preserve">sales </w:t>
      </w:r>
      <w:r>
        <w:rPr>
          <w:lang w:val="en-US"/>
        </w:rPr>
        <w:t xml:space="preserve">growth was in </w:t>
      </w:r>
      <w:r w:rsidR="004D48E7" w:rsidRPr="00044F3C">
        <w:rPr>
          <w:lang w:val="en-US"/>
        </w:rPr>
        <w:t>Asi</w:t>
      </w:r>
      <w:r>
        <w:rPr>
          <w:lang w:val="en-US"/>
        </w:rPr>
        <w:t>a a</w:t>
      </w:r>
      <w:r w:rsidR="004D48E7" w:rsidRPr="00044F3C">
        <w:rPr>
          <w:lang w:val="en-US"/>
        </w:rPr>
        <w:t>nd Nor</w:t>
      </w:r>
      <w:r>
        <w:rPr>
          <w:lang w:val="en-US"/>
        </w:rPr>
        <w:t xml:space="preserve">th America in </w:t>
      </w:r>
      <w:r w:rsidRPr="00044F3C">
        <w:rPr>
          <w:lang w:val="en-US"/>
        </w:rPr>
        <w:t>2015</w:t>
      </w:r>
      <w:r>
        <w:rPr>
          <w:lang w:val="en-US"/>
        </w:rPr>
        <w:t xml:space="preserve">,” stated CEO </w:t>
      </w:r>
      <w:r w:rsidR="00E50F8F" w:rsidRPr="00044F3C">
        <w:rPr>
          <w:lang w:val="en-US"/>
        </w:rPr>
        <w:t xml:space="preserve">Stefan Klebert </w:t>
      </w:r>
      <w:r>
        <w:rPr>
          <w:lang w:val="en-US"/>
        </w:rPr>
        <w:t xml:space="preserve">on presentation of the company’s annual accounts </w:t>
      </w:r>
      <w:r w:rsidR="00E50F8F" w:rsidRPr="00044F3C">
        <w:rPr>
          <w:lang w:val="en-US"/>
        </w:rPr>
        <w:t xml:space="preserve">in </w:t>
      </w:r>
      <w:r w:rsidR="004D48E7" w:rsidRPr="00044F3C">
        <w:rPr>
          <w:lang w:val="en-US"/>
        </w:rPr>
        <w:t>Göppingen</w:t>
      </w:r>
      <w:r>
        <w:rPr>
          <w:lang w:val="en-US"/>
        </w:rPr>
        <w:t>, Germany</w:t>
      </w:r>
      <w:r w:rsidR="004D48E7" w:rsidRPr="00044F3C">
        <w:rPr>
          <w:lang w:val="en-US"/>
        </w:rPr>
        <w:t xml:space="preserve">. </w:t>
      </w:r>
      <w:r>
        <w:rPr>
          <w:lang w:val="en-US"/>
        </w:rPr>
        <w:t>“In terms of new orders, the cyclical decline in large equipment for the a</w:t>
      </w:r>
      <w:r w:rsidR="00E10CA8" w:rsidRPr="00044F3C">
        <w:rPr>
          <w:lang w:val="en-US"/>
        </w:rPr>
        <w:t>utomotive</w:t>
      </w:r>
      <w:r>
        <w:rPr>
          <w:lang w:val="en-US"/>
        </w:rPr>
        <w:t xml:space="preserve"> sec</w:t>
      </w:r>
      <w:r w:rsidR="00E10CA8" w:rsidRPr="00044F3C">
        <w:rPr>
          <w:lang w:val="en-US"/>
        </w:rPr>
        <w:t xml:space="preserve">tor </w:t>
      </w:r>
      <w:r>
        <w:rPr>
          <w:lang w:val="en-US"/>
        </w:rPr>
        <w:t xml:space="preserve">was partially offset by growth </w:t>
      </w:r>
      <w:r w:rsidR="001343EF" w:rsidRPr="00044F3C">
        <w:rPr>
          <w:lang w:val="en-US"/>
        </w:rPr>
        <w:t xml:space="preserve">in </w:t>
      </w:r>
      <w:r w:rsidR="006906BA">
        <w:rPr>
          <w:lang w:val="en-US"/>
        </w:rPr>
        <w:t>our</w:t>
      </w:r>
      <w:r>
        <w:rPr>
          <w:lang w:val="en-US"/>
        </w:rPr>
        <w:t xml:space="preserve"> other d</w:t>
      </w:r>
      <w:r w:rsidR="001343EF" w:rsidRPr="00044F3C">
        <w:rPr>
          <w:lang w:val="en-US"/>
        </w:rPr>
        <w:t>ivision</w:t>
      </w:r>
      <w:r>
        <w:rPr>
          <w:lang w:val="en-US"/>
        </w:rPr>
        <w:t>s</w:t>
      </w:r>
      <w:r w:rsidR="006C730C" w:rsidRPr="00044F3C">
        <w:rPr>
          <w:lang w:val="en-US"/>
        </w:rPr>
        <w:t>.</w:t>
      </w:r>
      <w:r>
        <w:rPr>
          <w:lang w:val="en-US"/>
        </w:rPr>
        <w:t>”</w:t>
      </w:r>
    </w:p>
    <w:p w14:paraId="30275D10" w14:textId="77777777" w:rsidR="004D48E7" w:rsidRPr="00044F3C" w:rsidRDefault="004D48E7" w:rsidP="00E50F8F">
      <w:pPr>
        <w:rPr>
          <w:lang w:val="en-US"/>
        </w:rPr>
      </w:pPr>
    </w:p>
    <w:p w14:paraId="712A07D3" w14:textId="46DE9378" w:rsidR="000D496E" w:rsidRPr="00044F3C" w:rsidRDefault="000D496E" w:rsidP="00E50F8F">
      <w:pPr>
        <w:rPr>
          <w:b/>
          <w:lang w:val="en-US"/>
        </w:rPr>
      </w:pPr>
      <w:r w:rsidRPr="00044F3C">
        <w:rPr>
          <w:b/>
          <w:lang w:val="en-US"/>
        </w:rPr>
        <w:t>Yadon</w:t>
      </w:r>
      <w:r w:rsidR="00044F3C">
        <w:rPr>
          <w:b/>
          <w:lang w:val="en-US"/>
        </w:rPr>
        <w:t xml:space="preserve"> deal expected to be closed in spring</w:t>
      </w:r>
    </w:p>
    <w:p w14:paraId="747B21C2" w14:textId="59E6E734" w:rsidR="00F002F6" w:rsidRPr="00044F3C" w:rsidRDefault="00825A16" w:rsidP="00E50F8F">
      <w:pPr>
        <w:rPr>
          <w:lang w:val="en-US"/>
        </w:rPr>
      </w:pPr>
      <w:r w:rsidRPr="00044F3C">
        <w:rPr>
          <w:lang w:val="en-US"/>
        </w:rPr>
        <w:t xml:space="preserve">Schuler </w:t>
      </w:r>
      <w:r w:rsidR="00044F3C">
        <w:rPr>
          <w:lang w:val="en-US"/>
        </w:rPr>
        <w:t xml:space="preserve">is focusing in particular on </w:t>
      </w:r>
      <w:r w:rsidRPr="00044F3C">
        <w:rPr>
          <w:lang w:val="en-US"/>
        </w:rPr>
        <w:t>ne</w:t>
      </w:r>
      <w:r w:rsidR="00044F3C">
        <w:rPr>
          <w:lang w:val="en-US"/>
        </w:rPr>
        <w:t xml:space="preserve">w growth markets </w:t>
      </w:r>
      <w:r w:rsidRPr="00044F3C">
        <w:rPr>
          <w:lang w:val="en-US"/>
        </w:rPr>
        <w:t xml:space="preserve">in China </w:t>
      </w:r>
      <w:r w:rsidR="00044F3C">
        <w:rPr>
          <w:lang w:val="en-US"/>
        </w:rPr>
        <w:t>a</w:t>
      </w:r>
      <w:r w:rsidRPr="00044F3C">
        <w:rPr>
          <w:lang w:val="en-US"/>
        </w:rPr>
        <w:t xml:space="preserve">nd </w:t>
      </w:r>
      <w:r w:rsidR="00044F3C">
        <w:rPr>
          <w:lang w:val="en-US"/>
        </w:rPr>
        <w:t>other emerging markets</w:t>
      </w:r>
      <w:r w:rsidRPr="00044F3C">
        <w:rPr>
          <w:lang w:val="en-US"/>
        </w:rPr>
        <w:t xml:space="preserve">. </w:t>
      </w:r>
      <w:r w:rsidR="00044F3C">
        <w:rPr>
          <w:lang w:val="en-US"/>
        </w:rPr>
        <w:t>In spring this year, the company’s acquisition of a majority stake in C</w:t>
      </w:r>
      <w:r w:rsidR="00DC7EF7" w:rsidRPr="00044F3C">
        <w:rPr>
          <w:lang w:val="en-US"/>
        </w:rPr>
        <w:t>hines</w:t>
      </w:r>
      <w:r w:rsidR="00044F3C">
        <w:rPr>
          <w:lang w:val="en-US"/>
        </w:rPr>
        <w:t>e p</w:t>
      </w:r>
      <w:r w:rsidR="00DC7EF7" w:rsidRPr="00044F3C">
        <w:rPr>
          <w:lang w:val="en-US"/>
        </w:rPr>
        <w:t>ress</w:t>
      </w:r>
      <w:r w:rsidR="00044F3C">
        <w:rPr>
          <w:lang w:val="en-US"/>
        </w:rPr>
        <w:t xml:space="preserve"> manufacturer </w:t>
      </w:r>
      <w:r w:rsidR="00DC7EF7" w:rsidRPr="00044F3C">
        <w:rPr>
          <w:lang w:val="en-US"/>
        </w:rPr>
        <w:t xml:space="preserve">Yadon </w:t>
      </w:r>
      <w:r w:rsidR="00044F3C">
        <w:rPr>
          <w:lang w:val="en-US"/>
        </w:rPr>
        <w:t xml:space="preserve">is expected to be </w:t>
      </w:r>
      <w:r w:rsidR="00044F3C">
        <w:rPr>
          <w:lang w:val="en-US"/>
        </w:rPr>
        <w:lastRenderedPageBreak/>
        <w:t>finally closed</w:t>
      </w:r>
      <w:r w:rsidRPr="00044F3C">
        <w:rPr>
          <w:lang w:val="en-US"/>
        </w:rPr>
        <w:t xml:space="preserve">. </w:t>
      </w:r>
      <w:r w:rsidR="00F505F8">
        <w:rPr>
          <w:lang w:val="en-US"/>
        </w:rPr>
        <w:t>The necessary approval from China’s anti-trust authorities has now been received</w:t>
      </w:r>
      <w:r w:rsidRPr="00044F3C">
        <w:rPr>
          <w:lang w:val="en-US"/>
        </w:rPr>
        <w:t>.</w:t>
      </w:r>
      <w:r w:rsidR="00ED091A" w:rsidRPr="00044F3C">
        <w:rPr>
          <w:lang w:val="en-US"/>
        </w:rPr>
        <w:t xml:space="preserve"> </w:t>
      </w:r>
      <w:r w:rsidR="00E125EC">
        <w:rPr>
          <w:lang w:val="en-US"/>
        </w:rPr>
        <w:t>Based in the eastern Chinese p</w:t>
      </w:r>
      <w:r w:rsidR="00ED091A" w:rsidRPr="00044F3C">
        <w:rPr>
          <w:lang w:val="en-US"/>
        </w:rPr>
        <w:t>rovin</w:t>
      </w:r>
      <w:r w:rsidR="00E125EC">
        <w:rPr>
          <w:lang w:val="en-US"/>
        </w:rPr>
        <w:t>ce of</w:t>
      </w:r>
      <w:r w:rsidR="00ED091A" w:rsidRPr="00044F3C">
        <w:rPr>
          <w:lang w:val="en-US"/>
        </w:rPr>
        <w:t xml:space="preserve"> Jiangsu</w:t>
      </w:r>
      <w:r w:rsidR="00E125EC">
        <w:rPr>
          <w:lang w:val="en-US"/>
        </w:rPr>
        <w:t xml:space="preserve">, </w:t>
      </w:r>
      <w:r w:rsidR="00E125EC" w:rsidRPr="00044F3C">
        <w:rPr>
          <w:lang w:val="en-US"/>
        </w:rPr>
        <w:t>Yadon</w:t>
      </w:r>
      <w:r w:rsidR="00E125EC">
        <w:rPr>
          <w:lang w:val="en-US"/>
        </w:rPr>
        <w:t xml:space="preserve">’s </w:t>
      </w:r>
      <w:r w:rsidR="00ED091A" w:rsidRPr="00044F3C">
        <w:rPr>
          <w:lang w:val="en-US"/>
        </w:rPr>
        <w:t>1</w:t>
      </w:r>
      <w:r w:rsidR="00E125EC">
        <w:rPr>
          <w:lang w:val="en-US"/>
        </w:rPr>
        <w:t>,</w:t>
      </w:r>
      <w:r w:rsidR="00ED091A" w:rsidRPr="00044F3C">
        <w:rPr>
          <w:lang w:val="en-US"/>
        </w:rPr>
        <w:t xml:space="preserve">000 </w:t>
      </w:r>
      <w:r w:rsidR="00E125EC">
        <w:rPr>
          <w:lang w:val="en-US"/>
        </w:rPr>
        <w:t>employees achieve annual sales of a</w:t>
      </w:r>
      <w:r w:rsidR="00ED091A" w:rsidRPr="00044F3C">
        <w:rPr>
          <w:lang w:val="en-US"/>
        </w:rPr>
        <w:t>r</w:t>
      </w:r>
      <w:r w:rsidR="00E125EC">
        <w:rPr>
          <w:lang w:val="en-US"/>
        </w:rPr>
        <w:t>o</w:t>
      </w:r>
      <w:r w:rsidR="00ED091A" w:rsidRPr="00044F3C">
        <w:rPr>
          <w:lang w:val="en-US"/>
        </w:rPr>
        <w:t xml:space="preserve">und </w:t>
      </w:r>
      <w:r w:rsidR="00E125EC">
        <w:rPr>
          <w:lang w:val="en-US"/>
        </w:rPr>
        <w:t>€ </w:t>
      </w:r>
      <w:r w:rsidR="00ED091A" w:rsidRPr="00044F3C">
        <w:rPr>
          <w:lang w:val="en-US"/>
        </w:rPr>
        <w:t xml:space="preserve">110 </w:t>
      </w:r>
      <w:r w:rsidR="00E125EC">
        <w:rPr>
          <w:lang w:val="en-US"/>
        </w:rPr>
        <w:t>million</w:t>
      </w:r>
      <w:r w:rsidR="00ED091A" w:rsidRPr="00044F3C">
        <w:rPr>
          <w:lang w:val="en-US"/>
        </w:rPr>
        <w:t xml:space="preserve">. </w:t>
      </w:r>
      <w:r w:rsidR="00E125EC">
        <w:rPr>
          <w:lang w:val="en-US"/>
        </w:rPr>
        <w:t xml:space="preserve">“Our majority stake </w:t>
      </w:r>
      <w:r w:rsidRPr="00044F3C">
        <w:rPr>
          <w:lang w:val="en-US"/>
        </w:rPr>
        <w:t>is</w:t>
      </w:r>
      <w:r w:rsidR="00E125EC">
        <w:rPr>
          <w:lang w:val="en-US"/>
        </w:rPr>
        <w:t xml:space="preserve"> </w:t>
      </w:r>
      <w:r w:rsidRPr="00044F3C">
        <w:rPr>
          <w:lang w:val="en-US"/>
        </w:rPr>
        <w:t>t</w:t>
      </w:r>
      <w:r w:rsidR="00E125EC">
        <w:rPr>
          <w:lang w:val="en-US"/>
        </w:rPr>
        <w:t>he strategi</w:t>
      </w:r>
      <w:r w:rsidRPr="00044F3C">
        <w:rPr>
          <w:lang w:val="en-US"/>
        </w:rPr>
        <w:t>c</w:t>
      </w:r>
      <w:r w:rsidR="00E125EC">
        <w:rPr>
          <w:lang w:val="en-US"/>
        </w:rPr>
        <w:t xml:space="preserve"> key which will open the door to the fast-growing, medium price-performance press segment,” explained </w:t>
      </w:r>
      <w:r w:rsidR="00ED091A" w:rsidRPr="00044F3C">
        <w:rPr>
          <w:lang w:val="en-US"/>
        </w:rPr>
        <w:t xml:space="preserve">Schuler CEO Klebert. </w:t>
      </w:r>
      <w:r w:rsidR="00E125EC">
        <w:rPr>
          <w:lang w:val="en-US"/>
        </w:rPr>
        <w:t>“This s</w:t>
      </w:r>
      <w:r w:rsidR="001F02CA" w:rsidRPr="00044F3C">
        <w:rPr>
          <w:lang w:val="en-US"/>
        </w:rPr>
        <w:t>egment</w:t>
      </w:r>
      <w:r w:rsidR="00ED091A" w:rsidRPr="00044F3C">
        <w:rPr>
          <w:lang w:val="en-US"/>
        </w:rPr>
        <w:t xml:space="preserve"> </w:t>
      </w:r>
      <w:r w:rsidR="00E125EC">
        <w:rPr>
          <w:lang w:val="en-US"/>
        </w:rPr>
        <w:t>cannot be conquered with high-</w:t>
      </w:r>
      <w:proofErr w:type="gramStart"/>
      <w:r w:rsidR="00E125EC">
        <w:rPr>
          <w:lang w:val="en-US"/>
        </w:rPr>
        <w:t>price,</w:t>
      </w:r>
      <w:proofErr w:type="gramEnd"/>
      <w:r w:rsidR="00E125EC">
        <w:rPr>
          <w:lang w:val="en-US"/>
        </w:rPr>
        <w:t xml:space="preserve"> cutting-edge </w:t>
      </w:r>
      <w:r w:rsidR="00E125EC" w:rsidRPr="00044F3C">
        <w:rPr>
          <w:lang w:val="en-US"/>
        </w:rPr>
        <w:t>technolog</w:t>
      </w:r>
      <w:r w:rsidR="00E125EC">
        <w:rPr>
          <w:lang w:val="en-US"/>
        </w:rPr>
        <w:t>y e</w:t>
      </w:r>
      <w:r w:rsidR="00E125EC" w:rsidRPr="00044F3C">
        <w:rPr>
          <w:lang w:val="en-US"/>
        </w:rPr>
        <w:t>xport</w:t>
      </w:r>
      <w:r w:rsidR="00E125EC">
        <w:rPr>
          <w:lang w:val="en-US"/>
        </w:rPr>
        <w:t xml:space="preserve">ed from Germany alone – neither </w:t>
      </w:r>
      <w:r w:rsidR="00ED091A" w:rsidRPr="00044F3C">
        <w:rPr>
          <w:lang w:val="en-US"/>
        </w:rPr>
        <w:t>in China</w:t>
      </w:r>
      <w:r w:rsidR="00E125EC">
        <w:rPr>
          <w:lang w:val="en-US"/>
        </w:rPr>
        <w:t>,</w:t>
      </w:r>
      <w:r w:rsidR="00ED091A" w:rsidRPr="00044F3C">
        <w:rPr>
          <w:lang w:val="en-US"/>
        </w:rPr>
        <w:t xml:space="preserve"> </w:t>
      </w:r>
      <w:r w:rsidR="00E125EC">
        <w:rPr>
          <w:lang w:val="en-US"/>
        </w:rPr>
        <w:t xml:space="preserve">nor </w:t>
      </w:r>
      <w:r w:rsidR="00ED091A" w:rsidRPr="00044F3C">
        <w:rPr>
          <w:lang w:val="en-US"/>
        </w:rPr>
        <w:t xml:space="preserve">in </w:t>
      </w:r>
      <w:r w:rsidR="00E125EC">
        <w:rPr>
          <w:lang w:val="en-US"/>
        </w:rPr>
        <w:t xml:space="preserve">the </w:t>
      </w:r>
      <w:r w:rsidR="00ED091A" w:rsidRPr="00044F3C">
        <w:rPr>
          <w:lang w:val="en-US"/>
        </w:rPr>
        <w:t>US</w:t>
      </w:r>
      <w:r w:rsidR="0009124B">
        <w:rPr>
          <w:lang w:val="en-US"/>
        </w:rPr>
        <w:t>A</w:t>
      </w:r>
      <w:r w:rsidR="00ED091A" w:rsidRPr="00044F3C">
        <w:rPr>
          <w:lang w:val="en-US"/>
        </w:rPr>
        <w:t xml:space="preserve"> </w:t>
      </w:r>
      <w:r w:rsidR="00E125EC">
        <w:rPr>
          <w:lang w:val="en-US"/>
        </w:rPr>
        <w:t>n</w:t>
      </w:r>
      <w:r w:rsidR="00ED091A" w:rsidRPr="00044F3C">
        <w:rPr>
          <w:lang w:val="en-US"/>
        </w:rPr>
        <w:t xml:space="preserve">or in </w:t>
      </w:r>
      <w:r w:rsidR="00E125EC">
        <w:rPr>
          <w:lang w:val="en-US"/>
        </w:rPr>
        <w:t>the emerging markets</w:t>
      </w:r>
      <w:r w:rsidR="00ED091A" w:rsidRPr="00044F3C">
        <w:rPr>
          <w:lang w:val="en-US"/>
        </w:rPr>
        <w:t>.</w:t>
      </w:r>
      <w:r w:rsidR="00E125EC">
        <w:rPr>
          <w:lang w:val="en-US"/>
        </w:rPr>
        <w:t>”</w:t>
      </w:r>
      <w:r w:rsidR="00ED091A" w:rsidRPr="00044F3C">
        <w:rPr>
          <w:lang w:val="en-US"/>
        </w:rPr>
        <w:t xml:space="preserve"> </w:t>
      </w:r>
    </w:p>
    <w:p w14:paraId="32CB1646" w14:textId="77777777" w:rsidR="00F002F6" w:rsidRPr="00044F3C" w:rsidRDefault="00F002F6" w:rsidP="00E50F8F">
      <w:pPr>
        <w:rPr>
          <w:lang w:val="en-US"/>
        </w:rPr>
      </w:pPr>
    </w:p>
    <w:p w14:paraId="34224C94" w14:textId="6ACBA7EB" w:rsidR="00044918" w:rsidRPr="00044F3C" w:rsidRDefault="00E125EC" w:rsidP="00E50F8F">
      <w:pPr>
        <w:rPr>
          <w:lang w:val="en-US"/>
        </w:rPr>
      </w:pPr>
      <w:r>
        <w:rPr>
          <w:lang w:val="en-US"/>
        </w:rPr>
        <w:t xml:space="preserve">Germany will remain </w:t>
      </w:r>
      <w:r w:rsidR="00E10200" w:rsidRPr="00044F3C">
        <w:rPr>
          <w:lang w:val="en-US"/>
        </w:rPr>
        <w:t>Schuler</w:t>
      </w:r>
      <w:r>
        <w:rPr>
          <w:lang w:val="en-US"/>
        </w:rPr>
        <w:t>’s c</w:t>
      </w:r>
      <w:r w:rsidR="00ED091A" w:rsidRPr="00044F3C">
        <w:rPr>
          <w:lang w:val="en-US"/>
        </w:rPr>
        <w:t>entral</w:t>
      </w:r>
      <w:r>
        <w:rPr>
          <w:lang w:val="en-US"/>
        </w:rPr>
        <w:t xml:space="preserve"> development a</w:t>
      </w:r>
      <w:r w:rsidR="00ED091A" w:rsidRPr="00044F3C">
        <w:rPr>
          <w:lang w:val="en-US"/>
        </w:rPr>
        <w:t xml:space="preserve">nd </w:t>
      </w:r>
      <w:r>
        <w:rPr>
          <w:lang w:val="en-US"/>
        </w:rPr>
        <w:t xml:space="preserve">manufacturing base </w:t>
      </w:r>
      <w:r w:rsidR="00E10200" w:rsidRPr="00044F3C">
        <w:rPr>
          <w:lang w:val="en-US"/>
        </w:rPr>
        <w:t>f</w:t>
      </w:r>
      <w:r>
        <w:rPr>
          <w:lang w:val="en-US"/>
        </w:rPr>
        <w:t>o</w:t>
      </w:r>
      <w:r w:rsidR="00E10200" w:rsidRPr="00044F3C">
        <w:rPr>
          <w:lang w:val="en-US"/>
        </w:rPr>
        <w:t xml:space="preserve">r </w:t>
      </w:r>
      <w:r>
        <w:rPr>
          <w:lang w:val="en-US"/>
        </w:rPr>
        <w:t>p</w:t>
      </w:r>
      <w:r w:rsidR="00E10200" w:rsidRPr="00044F3C">
        <w:rPr>
          <w:lang w:val="en-US"/>
        </w:rPr>
        <w:t>remium</w:t>
      </w:r>
      <w:r>
        <w:rPr>
          <w:lang w:val="en-US"/>
        </w:rPr>
        <w:t xml:space="preserve"> technology</w:t>
      </w:r>
      <w:r w:rsidR="00ED091A" w:rsidRPr="00044F3C">
        <w:rPr>
          <w:lang w:val="en-US"/>
        </w:rPr>
        <w:t xml:space="preserve">, </w:t>
      </w:r>
      <w:r>
        <w:rPr>
          <w:lang w:val="en-US"/>
        </w:rPr>
        <w:t>as used for example in lightweight car manufacturing</w:t>
      </w:r>
      <w:r w:rsidR="00ED091A" w:rsidRPr="00044F3C">
        <w:rPr>
          <w:lang w:val="en-US"/>
        </w:rPr>
        <w:t xml:space="preserve">, </w:t>
      </w:r>
      <w:r>
        <w:rPr>
          <w:lang w:val="en-US"/>
        </w:rPr>
        <w:t>or for the production of large pipes and railway equipment</w:t>
      </w:r>
      <w:r w:rsidR="00ED091A" w:rsidRPr="00044F3C">
        <w:rPr>
          <w:lang w:val="en-US"/>
        </w:rPr>
        <w:t>.</w:t>
      </w:r>
      <w:r w:rsidR="00045F35" w:rsidRPr="00044F3C">
        <w:rPr>
          <w:lang w:val="en-US"/>
        </w:rPr>
        <w:t xml:space="preserve"> </w:t>
      </w:r>
      <w:r>
        <w:rPr>
          <w:lang w:val="en-US"/>
        </w:rPr>
        <w:t xml:space="preserve">As already </w:t>
      </w:r>
      <w:proofErr w:type="gramStart"/>
      <w:r>
        <w:rPr>
          <w:lang w:val="en-US"/>
        </w:rPr>
        <w:t>announced,</w:t>
      </w:r>
      <w:proofErr w:type="gramEnd"/>
      <w:r>
        <w:rPr>
          <w:lang w:val="en-US"/>
        </w:rPr>
        <w:t xml:space="preserve"> </w:t>
      </w:r>
      <w:r w:rsidR="00044918" w:rsidRPr="00044F3C">
        <w:rPr>
          <w:lang w:val="en-US"/>
        </w:rPr>
        <w:t>Schuler</w:t>
      </w:r>
      <w:r>
        <w:rPr>
          <w:lang w:val="en-US"/>
        </w:rPr>
        <w:t xml:space="preserve"> will reduce the number of production sites in Germany from seven to four by the end of</w:t>
      </w:r>
      <w:r w:rsidR="00044918" w:rsidRPr="00044F3C">
        <w:rPr>
          <w:lang w:val="en-US"/>
        </w:rPr>
        <w:t xml:space="preserve"> 2017 </w:t>
      </w:r>
      <w:r>
        <w:rPr>
          <w:lang w:val="en-US"/>
        </w:rPr>
        <w:t>in order to improve its c</w:t>
      </w:r>
      <w:r w:rsidRPr="00044F3C">
        <w:rPr>
          <w:lang w:val="en-US"/>
        </w:rPr>
        <w:t>ost</w:t>
      </w:r>
      <w:r>
        <w:rPr>
          <w:lang w:val="en-US"/>
        </w:rPr>
        <w:t xml:space="preserve"> </w:t>
      </w:r>
      <w:r w:rsidRPr="00044F3C">
        <w:rPr>
          <w:lang w:val="en-US"/>
        </w:rPr>
        <w:t>stru</w:t>
      </w:r>
      <w:r>
        <w:rPr>
          <w:lang w:val="en-US"/>
        </w:rPr>
        <w:t>c</w:t>
      </w:r>
      <w:r w:rsidRPr="00044F3C">
        <w:rPr>
          <w:lang w:val="en-US"/>
        </w:rPr>
        <w:t>ture</w:t>
      </w:r>
      <w:r>
        <w:rPr>
          <w:lang w:val="en-US"/>
        </w:rPr>
        <w:t>s a</w:t>
      </w:r>
      <w:r w:rsidRPr="00044F3C">
        <w:rPr>
          <w:lang w:val="en-US"/>
        </w:rPr>
        <w:t xml:space="preserve">nd </w:t>
      </w:r>
      <w:r>
        <w:rPr>
          <w:lang w:val="en-US"/>
        </w:rPr>
        <w:t xml:space="preserve">manufacturing </w:t>
      </w:r>
      <w:r w:rsidRPr="00044F3C">
        <w:rPr>
          <w:lang w:val="en-US"/>
        </w:rPr>
        <w:t>flexibilit</w:t>
      </w:r>
      <w:r>
        <w:rPr>
          <w:lang w:val="en-US"/>
        </w:rPr>
        <w:t>y</w:t>
      </w:r>
      <w:r w:rsidR="00044918" w:rsidRPr="00044F3C">
        <w:rPr>
          <w:lang w:val="en-US"/>
        </w:rPr>
        <w:t xml:space="preserve">. </w:t>
      </w:r>
      <w:r w:rsidR="00BA18A0">
        <w:rPr>
          <w:lang w:val="en-US"/>
        </w:rPr>
        <w:t>This will affect a</w:t>
      </w:r>
      <w:r w:rsidR="00044918" w:rsidRPr="00044F3C">
        <w:rPr>
          <w:lang w:val="en-US"/>
        </w:rPr>
        <w:t>r</w:t>
      </w:r>
      <w:r w:rsidR="00BA18A0">
        <w:rPr>
          <w:lang w:val="en-US"/>
        </w:rPr>
        <w:t>o</w:t>
      </w:r>
      <w:r w:rsidR="00044918" w:rsidRPr="00044F3C">
        <w:rPr>
          <w:lang w:val="en-US"/>
        </w:rPr>
        <w:t xml:space="preserve">und 450 </w:t>
      </w:r>
      <w:r w:rsidR="00BA18A0">
        <w:rPr>
          <w:lang w:val="en-US"/>
        </w:rPr>
        <w:t xml:space="preserve">of the </w:t>
      </w:r>
      <w:r w:rsidR="00044918" w:rsidRPr="00044F3C">
        <w:rPr>
          <w:lang w:val="en-US"/>
        </w:rPr>
        <w:t>5</w:t>
      </w:r>
      <w:r w:rsidR="00BA18A0">
        <w:rPr>
          <w:lang w:val="en-US"/>
        </w:rPr>
        <w:t>,</w:t>
      </w:r>
      <w:r w:rsidR="00044918" w:rsidRPr="00044F3C">
        <w:rPr>
          <w:lang w:val="en-US"/>
        </w:rPr>
        <w:t xml:space="preserve">176 </w:t>
      </w:r>
      <w:r w:rsidR="00BA18A0">
        <w:rPr>
          <w:lang w:val="en-US"/>
        </w:rPr>
        <w:t xml:space="preserve">employees recorded at year-end 2015 </w:t>
      </w:r>
      <w:r w:rsidR="00044918" w:rsidRPr="00044F3C">
        <w:rPr>
          <w:lang w:val="en-US"/>
        </w:rPr>
        <w:t>(</w:t>
      </w:r>
      <w:r w:rsidR="00BA18A0">
        <w:rPr>
          <w:lang w:val="en-US"/>
        </w:rPr>
        <w:t xml:space="preserve">prior year: </w:t>
      </w:r>
      <w:r w:rsidR="00044918" w:rsidRPr="00044F3C">
        <w:rPr>
          <w:lang w:val="en-US"/>
        </w:rPr>
        <w:t>5</w:t>
      </w:r>
      <w:r w:rsidR="00BA18A0">
        <w:rPr>
          <w:lang w:val="en-US"/>
        </w:rPr>
        <w:t>,</w:t>
      </w:r>
      <w:r w:rsidR="00044918" w:rsidRPr="00044F3C">
        <w:rPr>
          <w:lang w:val="en-US"/>
        </w:rPr>
        <w:t>423)</w:t>
      </w:r>
      <w:r w:rsidR="00BA18A0">
        <w:rPr>
          <w:lang w:val="en-US"/>
        </w:rPr>
        <w:t xml:space="preserve">. Talks are currently being held with the respective works councils to </w:t>
      </w:r>
      <w:r w:rsidR="00C82B48">
        <w:rPr>
          <w:lang w:val="en-US"/>
        </w:rPr>
        <w:t>agree</w:t>
      </w:r>
      <w:r w:rsidR="00BA18A0">
        <w:rPr>
          <w:lang w:val="en-US"/>
        </w:rPr>
        <w:t xml:space="preserve"> a settlement</w:t>
      </w:r>
      <w:r w:rsidR="00C82B48">
        <w:rPr>
          <w:lang w:val="en-US"/>
        </w:rPr>
        <w:t xml:space="preserve"> for these workers</w:t>
      </w:r>
      <w:r w:rsidR="00044918" w:rsidRPr="00044F3C">
        <w:rPr>
          <w:lang w:val="en-US"/>
        </w:rPr>
        <w:t xml:space="preserve">. </w:t>
      </w:r>
    </w:p>
    <w:p w14:paraId="22E098BE" w14:textId="77777777" w:rsidR="00044918" w:rsidRPr="00044F3C" w:rsidRDefault="00044918" w:rsidP="00E50F8F">
      <w:pPr>
        <w:rPr>
          <w:lang w:val="en-US"/>
        </w:rPr>
      </w:pPr>
    </w:p>
    <w:p w14:paraId="1D5075BC" w14:textId="55CFBEC5" w:rsidR="007D508E" w:rsidRPr="00044F3C" w:rsidRDefault="00044918" w:rsidP="00E50F8F">
      <w:pPr>
        <w:rPr>
          <w:lang w:val="en-US"/>
        </w:rPr>
      </w:pPr>
      <w:r w:rsidRPr="00044F3C">
        <w:rPr>
          <w:lang w:val="en-US"/>
        </w:rPr>
        <w:t>I</w:t>
      </w:r>
      <w:r w:rsidR="00C82B48">
        <w:rPr>
          <w:lang w:val="en-US"/>
        </w:rPr>
        <w:t xml:space="preserve">n connection with the </w:t>
      </w:r>
      <w:r w:rsidRPr="00044F3C">
        <w:rPr>
          <w:lang w:val="en-US"/>
        </w:rPr>
        <w:t>ne</w:t>
      </w:r>
      <w:r w:rsidR="00C82B48">
        <w:rPr>
          <w:lang w:val="en-US"/>
        </w:rPr>
        <w:t>w manufacturing concept a</w:t>
      </w:r>
      <w:r w:rsidR="00870B93" w:rsidRPr="00044F3C">
        <w:rPr>
          <w:lang w:val="en-US"/>
        </w:rPr>
        <w:t xml:space="preserve">nd </w:t>
      </w:r>
      <w:r w:rsidR="00C82B48">
        <w:rPr>
          <w:lang w:val="en-US"/>
        </w:rPr>
        <w:t>the accompanying measures to enhance e</w:t>
      </w:r>
      <w:r w:rsidR="00870B93" w:rsidRPr="00044F3C">
        <w:rPr>
          <w:lang w:val="en-US"/>
        </w:rPr>
        <w:t>ffi</w:t>
      </w:r>
      <w:r w:rsidR="00C82B48">
        <w:rPr>
          <w:lang w:val="en-US"/>
        </w:rPr>
        <w:t>c</w:t>
      </w:r>
      <w:r w:rsidR="00870B93" w:rsidRPr="00044F3C">
        <w:rPr>
          <w:lang w:val="en-US"/>
        </w:rPr>
        <w:t>ien</w:t>
      </w:r>
      <w:r w:rsidR="00C82B48">
        <w:rPr>
          <w:lang w:val="en-US"/>
        </w:rPr>
        <w:t xml:space="preserve">cy, </w:t>
      </w:r>
      <w:r w:rsidRPr="00044F3C">
        <w:rPr>
          <w:lang w:val="en-US"/>
        </w:rPr>
        <w:t xml:space="preserve">Schuler </w:t>
      </w:r>
      <w:r w:rsidR="00C82B48">
        <w:rPr>
          <w:lang w:val="en-US"/>
        </w:rPr>
        <w:t>recognized special items of a</w:t>
      </w:r>
      <w:r w:rsidRPr="00044F3C">
        <w:rPr>
          <w:lang w:val="en-US"/>
        </w:rPr>
        <w:t>r</w:t>
      </w:r>
      <w:r w:rsidR="00C82B48">
        <w:rPr>
          <w:lang w:val="en-US"/>
        </w:rPr>
        <w:t>o</w:t>
      </w:r>
      <w:r w:rsidRPr="00044F3C">
        <w:rPr>
          <w:lang w:val="en-US"/>
        </w:rPr>
        <w:t xml:space="preserve">und </w:t>
      </w:r>
      <w:r w:rsidR="00C82B48">
        <w:rPr>
          <w:lang w:val="en-US"/>
        </w:rPr>
        <w:t>€ </w:t>
      </w:r>
      <w:r w:rsidRPr="00044F3C">
        <w:rPr>
          <w:lang w:val="en-US"/>
        </w:rPr>
        <w:t xml:space="preserve">73 </w:t>
      </w:r>
      <w:r w:rsidR="00C82B48">
        <w:rPr>
          <w:lang w:val="en-US"/>
        </w:rPr>
        <w:t xml:space="preserve">million in </w:t>
      </w:r>
      <w:r w:rsidR="00C82B48" w:rsidRPr="00044F3C">
        <w:rPr>
          <w:lang w:val="en-US"/>
        </w:rPr>
        <w:t>2015</w:t>
      </w:r>
      <w:r w:rsidRPr="00044F3C">
        <w:rPr>
          <w:lang w:val="en-US"/>
        </w:rPr>
        <w:t xml:space="preserve">. </w:t>
      </w:r>
      <w:r w:rsidR="00C82B48">
        <w:rPr>
          <w:lang w:val="en-US"/>
        </w:rPr>
        <w:t>Including these items</w:t>
      </w:r>
      <w:r w:rsidRPr="00044F3C">
        <w:rPr>
          <w:lang w:val="en-US"/>
        </w:rPr>
        <w:t xml:space="preserve">, </w:t>
      </w:r>
      <w:r w:rsidR="00C82B48">
        <w:rPr>
          <w:lang w:val="en-US"/>
        </w:rPr>
        <w:t>earnings before interest</w:t>
      </w:r>
      <w:r w:rsidRPr="00044F3C">
        <w:rPr>
          <w:lang w:val="en-US"/>
        </w:rPr>
        <w:t xml:space="preserve">, </w:t>
      </w:r>
      <w:r w:rsidR="00C82B48">
        <w:rPr>
          <w:lang w:val="en-US"/>
        </w:rPr>
        <w:t>taxes</w:t>
      </w:r>
      <w:r w:rsidRPr="00044F3C">
        <w:rPr>
          <w:lang w:val="en-US"/>
        </w:rPr>
        <w:t xml:space="preserve">, </w:t>
      </w:r>
      <w:r w:rsidR="00C82B48">
        <w:rPr>
          <w:lang w:val="en-US"/>
        </w:rPr>
        <w:t>depreciation and a</w:t>
      </w:r>
      <w:r w:rsidRPr="00044F3C">
        <w:rPr>
          <w:lang w:val="en-US"/>
        </w:rPr>
        <w:t>morti</w:t>
      </w:r>
      <w:r w:rsidR="00C82B48">
        <w:rPr>
          <w:lang w:val="en-US"/>
        </w:rPr>
        <w:t xml:space="preserve">zation </w:t>
      </w:r>
      <w:r w:rsidRPr="00044F3C">
        <w:rPr>
          <w:lang w:val="en-US"/>
        </w:rPr>
        <w:t xml:space="preserve">(EBITDA) </w:t>
      </w:r>
      <w:r w:rsidR="00C82B48">
        <w:rPr>
          <w:lang w:val="en-US"/>
        </w:rPr>
        <w:t>still amounted to € 70.</w:t>
      </w:r>
      <w:r w:rsidRPr="00044F3C">
        <w:rPr>
          <w:lang w:val="en-US"/>
        </w:rPr>
        <w:t>9 (</w:t>
      </w:r>
      <w:r w:rsidR="00C82B48">
        <w:rPr>
          <w:lang w:val="en-US"/>
        </w:rPr>
        <w:t>prior year: 120.</w:t>
      </w:r>
      <w:r w:rsidRPr="00044F3C">
        <w:rPr>
          <w:lang w:val="en-US"/>
        </w:rPr>
        <w:t xml:space="preserve">9) </w:t>
      </w:r>
      <w:r w:rsidR="00C82B48">
        <w:rPr>
          <w:lang w:val="en-US"/>
        </w:rPr>
        <w:t>million</w:t>
      </w:r>
      <w:r w:rsidR="00A354D8">
        <w:rPr>
          <w:lang w:val="en-US"/>
        </w:rPr>
        <w:t>, with a margin of 5.9 (10.3) percent</w:t>
      </w:r>
      <w:r w:rsidR="007D508E" w:rsidRPr="00044F3C">
        <w:rPr>
          <w:lang w:val="en-US"/>
        </w:rPr>
        <w:t>.</w:t>
      </w:r>
      <w:r w:rsidR="00FF2727" w:rsidRPr="00044F3C">
        <w:rPr>
          <w:lang w:val="en-US"/>
        </w:rPr>
        <w:t xml:space="preserve"> </w:t>
      </w:r>
      <w:r w:rsidR="00C82B48">
        <w:rPr>
          <w:lang w:val="en-US"/>
        </w:rPr>
        <w:t>The Group profit for the year reached € 39.3 (66.</w:t>
      </w:r>
      <w:r w:rsidR="00FF2727" w:rsidRPr="00044F3C">
        <w:rPr>
          <w:lang w:val="en-US"/>
        </w:rPr>
        <w:t xml:space="preserve">9) </w:t>
      </w:r>
      <w:r w:rsidR="00C82B48">
        <w:rPr>
          <w:lang w:val="en-US"/>
        </w:rPr>
        <w:t>million</w:t>
      </w:r>
      <w:r w:rsidR="00FF2727" w:rsidRPr="00044F3C">
        <w:rPr>
          <w:lang w:val="en-US"/>
        </w:rPr>
        <w:t>.</w:t>
      </w:r>
    </w:p>
    <w:p w14:paraId="32C1766E" w14:textId="77777777" w:rsidR="007D508E" w:rsidRPr="00044F3C" w:rsidRDefault="007D508E" w:rsidP="00E50F8F">
      <w:pPr>
        <w:rPr>
          <w:lang w:val="en-US"/>
        </w:rPr>
      </w:pPr>
    </w:p>
    <w:p w14:paraId="42E9183A" w14:textId="6CF66A1E" w:rsidR="000D496E" w:rsidRPr="00044F3C" w:rsidRDefault="00C82B48" w:rsidP="00E50F8F">
      <w:pPr>
        <w:rPr>
          <w:b/>
          <w:lang w:val="en-US"/>
        </w:rPr>
      </w:pPr>
      <w:r>
        <w:rPr>
          <w:b/>
          <w:lang w:val="en-US"/>
        </w:rPr>
        <w:t>Growth</w:t>
      </w:r>
      <w:r w:rsidR="000D496E" w:rsidRPr="00044F3C">
        <w:rPr>
          <w:b/>
          <w:lang w:val="en-US"/>
        </w:rPr>
        <w:t xml:space="preserve"> in China </w:t>
      </w:r>
      <w:r>
        <w:rPr>
          <w:b/>
          <w:lang w:val="en-US"/>
        </w:rPr>
        <w:t>a</w:t>
      </w:r>
      <w:r w:rsidR="000D496E" w:rsidRPr="00044F3C">
        <w:rPr>
          <w:b/>
          <w:lang w:val="en-US"/>
        </w:rPr>
        <w:t>nd Nor</w:t>
      </w:r>
      <w:r>
        <w:rPr>
          <w:b/>
          <w:lang w:val="en-US"/>
        </w:rPr>
        <w:t>th A</w:t>
      </w:r>
      <w:r w:rsidR="000D496E" w:rsidRPr="00044F3C">
        <w:rPr>
          <w:b/>
          <w:lang w:val="en-US"/>
        </w:rPr>
        <w:t>meri</w:t>
      </w:r>
      <w:r>
        <w:rPr>
          <w:b/>
          <w:lang w:val="en-US"/>
        </w:rPr>
        <w:t>c</w:t>
      </w:r>
      <w:r w:rsidR="000D496E" w:rsidRPr="00044F3C">
        <w:rPr>
          <w:b/>
          <w:lang w:val="en-US"/>
        </w:rPr>
        <w:t>a</w:t>
      </w:r>
    </w:p>
    <w:p w14:paraId="035340BE" w14:textId="56E098CE" w:rsidR="007D508E" w:rsidRPr="00044F3C" w:rsidRDefault="00C82B48" w:rsidP="00E50F8F">
      <w:pPr>
        <w:rPr>
          <w:lang w:val="en-US"/>
        </w:rPr>
      </w:pPr>
      <w:r>
        <w:rPr>
          <w:lang w:val="en-US"/>
        </w:rPr>
        <w:t>At € </w:t>
      </w:r>
      <w:r w:rsidR="007D508E" w:rsidRPr="00044F3C">
        <w:rPr>
          <w:lang w:val="en-US"/>
        </w:rPr>
        <w:t xml:space="preserve">605 (658) </w:t>
      </w:r>
      <w:r>
        <w:rPr>
          <w:lang w:val="en-US"/>
        </w:rPr>
        <w:t xml:space="preserve">million, </w:t>
      </w:r>
      <w:r w:rsidRPr="00044F3C">
        <w:rPr>
          <w:lang w:val="en-US"/>
        </w:rPr>
        <w:t>Europ</w:t>
      </w:r>
      <w:r>
        <w:rPr>
          <w:lang w:val="en-US"/>
        </w:rPr>
        <w:t xml:space="preserve">e still accounted for the largest share of sales </w:t>
      </w:r>
      <w:r w:rsidR="006906BA">
        <w:rPr>
          <w:lang w:val="en-US"/>
        </w:rPr>
        <w:t>totaling</w:t>
      </w:r>
      <w:r>
        <w:rPr>
          <w:lang w:val="en-US"/>
        </w:rPr>
        <w:t xml:space="preserve"> € 1.</w:t>
      </w:r>
      <w:r w:rsidRPr="00044F3C">
        <w:rPr>
          <w:lang w:val="en-US"/>
        </w:rPr>
        <w:t xml:space="preserve">20 </w:t>
      </w:r>
      <w:r w:rsidR="006906BA">
        <w:rPr>
          <w:lang w:val="en-US"/>
        </w:rPr>
        <w:t>billion</w:t>
      </w:r>
      <w:r>
        <w:rPr>
          <w:lang w:val="en-US"/>
        </w:rPr>
        <w:t xml:space="preserve"> in </w:t>
      </w:r>
      <w:r w:rsidRPr="00044F3C">
        <w:rPr>
          <w:lang w:val="en-US"/>
        </w:rPr>
        <w:t>2015</w:t>
      </w:r>
      <w:r w:rsidR="007D508E" w:rsidRPr="00044F3C">
        <w:rPr>
          <w:lang w:val="en-US"/>
        </w:rPr>
        <w:t xml:space="preserve">. China </w:t>
      </w:r>
      <w:r w:rsidR="0009124B">
        <w:rPr>
          <w:lang w:val="en-US"/>
        </w:rPr>
        <w:t>increased to € </w:t>
      </w:r>
      <w:r w:rsidR="007D508E" w:rsidRPr="00044F3C">
        <w:rPr>
          <w:lang w:val="en-US"/>
        </w:rPr>
        <w:t xml:space="preserve">299 (272) </w:t>
      </w:r>
      <w:r w:rsidR="0009124B">
        <w:rPr>
          <w:lang w:val="en-US"/>
        </w:rPr>
        <w:t xml:space="preserve">million and </w:t>
      </w:r>
      <w:r w:rsidR="0009124B">
        <w:rPr>
          <w:lang w:val="en-US"/>
        </w:rPr>
        <w:lastRenderedPageBreak/>
        <w:t>the r</w:t>
      </w:r>
      <w:r w:rsidR="007D508E" w:rsidRPr="00044F3C">
        <w:rPr>
          <w:lang w:val="en-US"/>
        </w:rPr>
        <w:t>egion Nor</w:t>
      </w:r>
      <w:r w:rsidR="0009124B">
        <w:rPr>
          <w:lang w:val="en-US"/>
        </w:rPr>
        <w:t>th Am</w:t>
      </w:r>
      <w:r w:rsidR="007D508E" w:rsidRPr="00044F3C">
        <w:rPr>
          <w:lang w:val="en-US"/>
        </w:rPr>
        <w:t>eri</w:t>
      </w:r>
      <w:r w:rsidR="0009124B">
        <w:rPr>
          <w:lang w:val="en-US"/>
        </w:rPr>
        <w:t>c</w:t>
      </w:r>
      <w:r w:rsidR="007D508E" w:rsidRPr="00044F3C">
        <w:rPr>
          <w:lang w:val="en-US"/>
        </w:rPr>
        <w:t xml:space="preserve">a </w:t>
      </w:r>
      <w:r w:rsidR="0009124B">
        <w:rPr>
          <w:lang w:val="en-US"/>
        </w:rPr>
        <w:t>to € </w:t>
      </w:r>
      <w:r w:rsidR="007D508E" w:rsidRPr="00044F3C">
        <w:rPr>
          <w:lang w:val="en-US"/>
        </w:rPr>
        <w:t xml:space="preserve">190 (133) </w:t>
      </w:r>
      <w:r w:rsidR="0009124B">
        <w:rPr>
          <w:lang w:val="en-US"/>
        </w:rPr>
        <w:t>million</w:t>
      </w:r>
      <w:r w:rsidR="007D508E" w:rsidRPr="00044F3C">
        <w:rPr>
          <w:lang w:val="en-US"/>
        </w:rPr>
        <w:t xml:space="preserve">. In </w:t>
      </w:r>
      <w:r w:rsidR="0009124B">
        <w:rPr>
          <w:lang w:val="en-US"/>
        </w:rPr>
        <w:t xml:space="preserve">the </w:t>
      </w:r>
      <w:r w:rsidR="007D508E" w:rsidRPr="00044F3C">
        <w:rPr>
          <w:lang w:val="en-US"/>
        </w:rPr>
        <w:t>USA</w:t>
      </w:r>
      <w:r w:rsidR="0009124B">
        <w:rPr>
          <w:lang w:val="en-US"/>
        </w:rPr>
        <w:t>,</w:t>
      </w:r>
      <w:r w:rsidR="007D508E" w:rsidRPr="00044F3C">
        <w:rPr>
          <w:lang w:val="en-US"/>
        </w:rPr>
        <w:t xml:space="preserve"> Schuler </w:t>
      </w:r>
      <w:r w:rsidR="0009124B">
        <w:rPr>
          <w:lang w:val="en-US"/>
        </w:rPr>
        <w:t>was able to win a major US car manufacturer as a new customer for its press lines for the first time in several years</w:t>
      </w:r>
      <w:r w:rsidR="007D508E" w:rsidRPr="00044F3C">
        <w:rPr>
          <w:lang w:val="en-US"/>
        </w:rPr>
        <w:t>.</w:t>
      </w:r>
    </w:p>
    <w:p w14:paraId="2BE75A12" w14:textId="77777777" w:rsidR="007D508E" w:rsidRPr="00044F3C" w:rsidRDefault="007D508E" w:rsidP="00E50F8F">
      <w:pPr>
        <w:rPr>
          <w:lang w:val="en-US"/>
        </w:rPr>
      </w:pPr>
    </w:p>
    <w:p w14:paraId="65771BFD" w14:textId="1DD66D46" w:rsidR="00045F35" w:rsidRPr="00044F3C" w:rsidRDefault="008C6B0C" w:rsidP="00E50F8F">
      <w:pPr>
        <w:rPr>
          <w:lang w:val="en-US"/>
        </w:rPr>
      </w:pPr>
      <w:r>
        <w:rPr>
          <w:lang w:val="en-US"/>
        </w:rPr>
        <w:t>New orders received by the Schuler Group fell to € 1.02 (1.</w:t>
      </w:r>
      <w:r w:rsidR="007D508E" w:rsidRPr="00044F3C">
        <w:rPr>
          <w:lang w:val="en-US"/>
        </w:rPr>
        <w:t xml:space="preserve">19) </w:t>
      </w:r>
      <w:r>
        <w:rPr>
          <w:lang w:val="en-US"/>
        </w:rPr>
        <w:t xml:space="preserve">billion in </w:t>
      </w:r>
      <w:r w:rsidRPr="00044F3C">
        <w:rPr>
          <w:lang w:val="en-US"/>
        </w:rPr>
        <w:t xml:space="preserve">2015 </w:t>
      </w:r>
      <w:r>
        <w:rPr>
          <w:lang w:val="en-US"/>
        </w:rPr>
        <w:t>and the order backlog at the end of the year stood at € 0.89 (1.</w:t>
      </w:r>
      <w:r w:rsidR="007D508E" w:rsidRPr="00044F3C">
        <w:rPr>
          <w:lang w:val="en-US"/>
        </w:rPr>
        <w:t xml:space="preserve">06) </w:t>
      </w:r>
      <w:r>
        <w:rPr>
          <w:lang w:val="en-US"/>
        </w:rPr>
        <w:t>billion</w:t>
      </w:r>
      <w:r w:rsidR="007D508E" w:rsidRPr="00044F3C">
        <w:rPr>
          <w:lang w:val="en-US"/>
        </w:rPr>
        <w:t xml:space="preserve">. </w:t>
      </w:r>
      <w:r>
        <w:rPr>
          <w:lang w:val="en-US"/>
        </w:rPr>
        <w:t>“</w:t>
      </w:r>
      <w:r w:rsidR="007D508E" w:rsidRPr="00044F3C">
        <w:rPr>
          <w:lang w:val="en-US"/>
        </w:rPr>
        <w:t>W</w:t>
      </w:r>
      <w:r>
        <w:rPr>
          <w:lang w:val="en-US"/>
        </w:rPr>
        <w:t xml:space="preserve">e cannot fully escape the effects of a slowdown </w:t>
      </w:r>
      <w:r w:rsidR="007D508E" w:rsidRPr="00044F3C">
        <w:rPr>
          <w:lang w:val="en-US"/>
        </w:rPr>
        <w:t xml:space="preserve">in </w:t>
      </w:r>
      <w:r>
        <w:rPr>
          <w:lang w:val="en-US"/>
        </w:rPr>
        <w:t xml:space="preserve">major economies around the world, nor the impact that various </w:t>
      </w:r>
      <w:r w:rsidR="007D508E" w:rsidRPr="00044F3C">
        <w:rPr>
          <w:lang w:val="en-US"/>
        </w:rPr>
        <w:t>geopoliti</w:t>
      </w:r>
      <w:r>
        <w:rPr>
          <w:lang w:val="en-US"/>
        </w:rPr>
        <w:t>cal c</w:t>
      </w:r>
      <w:r w:rsidR="007D508E" w:rsidRPr="00044F3C">
        <w:rPr>
          <w:lang w:val="en-US"/>
        </w:rPr>
        <w:t>onfli</w:t>
      </w:r>
      <w:r>
        <w:rPr>
          <w:lang w:val="en-US"/>
        </w:rPr>
        <w:t>cts are having on the i</w:t>
      </w:r>
      <w:r w:rsidR="001F02CA" w:rsidRPr="00044F3C">
        <w:rPr>
          <w:lang w:val="en-US"/>
        </w:rPr>
        <w:t>nvest</w:t>
      </w:r>
      <w:r>
        <w:rPr>
          <w:lang w:val="en-US"/>
        </w:rPr>
        <w:t>ment c</w:t>
      </w:r>
      <w:r w:rsidR="001F02CA" w:rsidRPr="00044F3C">
        <w:rPr>
          <w:lang w:val="en-US"/>
        </w:rPr>
        <w:t>lima</w:t>
      </w:r>
      <w:r>
        <w:rPr>
          <w:lang w:val="en-US"/>
        </w:rPr>
        <w:t xml:space="preserve">te,” stated CFO </w:t>
      </w:r>
      <w:r w:rsidR="007D508E" w:rsidRPr="00044F3C">
        <w:rPr>
          <w:lang w:val="en-US"/>
        </w:rPr>
        <w:t xml:space="preserve">Norbert Broger. </w:t>
      </w:r>
      <w:r>
        <w:rPr>
          <w:lang w:val="en-US"/>
        </w:rPr>
        <w:t>“For 2016, we therefore expect sales and earnings to fall well short of the prior-year figures</w:t>
      </w:r>
      <w:r w:rsidR="00677EBB" w:rsidRPr="00044F3C">
        <w:rPr>
          <w:lang w:val="en-US"/>
        </w:rPr>
        <w:t>.</w:t>
      </w:r>
      <w:r>
        <w:rPr>
          <w:lang w:val="en-US"/>
        </w:rPr>
        <w:t>”</w:t>
      </w:r>
      <w:r w:rsidR="00677EBB" w:rsidRPr="00044F3C">
        <w:rPr>
          <w:lang w:val="en-US"/>
        </w:rPr>
        <w:t xml:space="preserve"> </w:t>
      </w:r>
    </w:p>
    <w:p w14:paraId="25799347" w14:textId="77777777" w:rsidR="00045F35" w:rsidRPr="00044F3C" w:rsidRDefault="00045F35" w:rsidP="00E50F8F">
      <w:pPr>
        <w:rPr>
          <w:lang w:val="en-US"/>
        </w:rPr>
      </w:pPr>
    </w:p>
    <w:p w14:paraId="4413C084" w14:textId="54C25520" w:rsidR="000D496E" w:rsidRPr="00044F3C" w:rsidRDefault="008C6B0C" w:rsidP="004B64DD">
      <w:pPr>
        <w:rPr>
          <w:b/>
          <w:lang w:val="en-US"/>
        </w:rPr>
      </w:pPr>
      <w:r>
        <w:rPr>
          <w:b/>
          <w:lang w:val="en-US"/>
        </w:rPr>
        <w:t>Increased equity a</w:t>
      </w:r>
      <w:r w:rsidR="000D496E" w:rsidRPr="00044F3C">
        <w:rPr>
          <w:b/>
          <w:lang w:val="en-US"/>
        </w:rPr>
        <w:t>nd ne</w:t>
      </w:r>
      <w:r>
        <w:rPr>
          <w:b/>
          <w:lang w:val="en-US"/>
        </w:rPr>
        <w:t>w syndicated loan agreement</w:t>
      </w:r>
    </w:p>
    <w:p w14:paraId="44CD6ADC" w14:textId="33F30E6F" w:rsidR="00FF2727" w:rsidRPr="00044F3C" w:rsidRDefault="008C6B0C" w:rsidP="004B64DD">
      <w:pPr>
        <w:rPr>
          <w:lang w:val="en-US"/>
        </w:rPr>
      </w:pPr>
      <w:r>
        <w:rPr>
          <w:lang w:val="en-US"/>
        </w:rPr>
        <w:t>Th</w:t>
      </w:r>
      <w:r w:rsidR="00A354D8">
        <w:rPr>
          <w:lang w:val="en-US"/>
        </w:rPr>
        <w:t xml:space="preserve">e </w:t>
      </w:r>
      <w:r w:rsidR="00613B51">
        <w:rPr>
          <w:lang w:val="en-US"/>
        </w:rPr>
        <w:t xml:space="preserve">positive earnings trend and </w:t>
      </w:r>
      <w:r w:rsidR="00F002F6" w:rsidRPr="00044F3C">
        <w:rPr>
          <w:lang w:val="en-US"/>
        </w:rPr>
        <w:t>moderate</w:t>
      </w:r>
      <w:r>
        <w:rPr>
          <w:lang w:val="en-US"/>
        </w:rPr>
        <w:t xml:space="preserve"> dividend policy over the past few years</w:t>
      </w:r>
      <w:r w:rsidR="00A354D8">
        <w:rPr>
          <w:lang w:val="en-US"/>
        </w:rPr>
        <w:t xml:space="preserve"> have enabled Schuler –</w:t>
      </w:r>
      <w:r w:rsidR="00A354D8" w:rsidRPr="00044F3C">
        <w:rPr>
          <w:lang w:val="en-US"/>
        </w:rPr>
        <w:t xml:space="preserve"> </w:t>
      </w:r>
      <w:r w:rsidR="00A354D8">
        <w:rPr>
          <w:lang w:val="en-US"/>
        </w:rPr>
        <w:t>in which the Austrian ANDRITZ</w:t>
      </w:r>
      <w:r w:rsidR="00A354D8" w:rsidRPr="00044F3C">
        <w:rPr>
          <w:lang w:val="en-US"/>
        </w:rPr>
        <w:t xml:space="preserve"> Gr</w:t>
      </w:r>
      <w:r w:rsidR="00A354D8">
        <w:rPr>
          <w:lang w:val="en-US"/>
        </w:rPr>
        <w:t>o</w:t>
      </w:r>
      <w:r w:rsidR="00A354D8" w:rsidRPr="00044F3C">
        <w:rPr>
          <w:lang w:val="en-US"/>
        </w:rPr>
        <w:t>up</w:t>
      </w:r>
      <w:r w:rsidR="00A354D8">
        <w:rPr>
          <w:lang w:val="en-US"/>
        </w:rPr>
        <w:t xml:space="preserve"> holds ov</w:t>
      </w:r>
      <w:r w:rsidR="00A354D8" w:rsidRPr="00044F3C">
        <w:rPr>
          <w:lang w:val="en-US"/>
        </w:rPr>
        <w:t xml:space="preserve">er 90 </w:t>
      </w:r>
      <w:r w:rsidR="00A354D8">
        <w:rPr>
          <w:lang w:val="en-US"/>
        </w:rPr>
        <w:t>percent of capital – to steadily improve its financial structure</w:t>
      </w:r>
      <w:r w:rsidR="003F73D0" w:rsidRPr="00044F3C">
        <w:rPr>
          <w:lang w:val="en-US"/>
        </w:rPr>
        <w:t xml:space="preserve">. </w:t>
      </w:r>
      <w:r>
        <w:rPr>
          <w:lang w:val="en-US"/>
        </w:rPr>
        <w:t xml:space="preserve">In </w:t>
      </w:r>
      <w:r w:rsidR="00045F35" w:rsidRPr="00044F3C">
        <w:rPr>
          <w:lang w:val="en-US"/>
        </w:rPr>
        <w:t>2015</w:t>
      </w:r>
      <w:r>
        <w:rPr>
          <w:lang w:val="en-US"/>
        </w:rPr>
        <w:t>, the equity ratio rose to 34.3 (28.</w:t>
      </w:r>
      <w:r w:rsidR="00045F35" w:rsidRPr="00044F3C">
        <w:rPr>
          <w:lang w:val="en-US"/>
        </w:rPr>
        <w:t xml:space="preserve">7) </w:t>
      </w:r>
      <w:r>
        <w:rPr>
          <w:lang w:val="en-US"/>
        </w:rPr>
        <w:t xml:space="preserve">percent – the highest level since the company’s IPO in </w:t>
      </w:r>
      <w:r w:rsidR="00FF2727" w:rsidRPr="00044F3C">
        <w:rPr>
          <w:lang w:val="en-US"/>
        </w:rPr>
        <w:t>1999</w:t>
      </w:r>
      <w:r w:rsidR="00045F35" w:rsidRPr="00044F3C">
        <w:rPr>
          <w:lang w:val="en-US"/>
        </w:rPr>
        <w:t xml:space="preserve">. </w:t>
      </w:r>
      <w:r>
        <w:rPr>
          <w:lang w:val="en-US"/>
        </w:rPr>
        <w:t xml:space="preserve">Moreover, </w:t>
      </w:r>
      <w:r w:rsidR="00896BEF" w:rsidRPr="00044F3C">
        <w:rPr>
          <w:lang w:val="en-US"/>
        </w:rPr>
        <w:t xml:space="preserve">Schuler </w:t>
      </w:r>
      <w:r>
        <w:rPr>
          <w:lang w:val="en-US"/>
        </w:rPr>
        <w:t>used the current favorable market c</w:t>
      </w:r>
      <w:r w:rsidR="00896BEF" w:rsidRPr="00044F3C">
        <w:rPr>
          <w:lang w:val="en-US"/>
        </w:rPr>
        <w:t>ondition</w:t>
      </w:r>
      <w:r>
        <w:rPr>
          <w:lang w:val="en-US"/>
        </w:rPr>
        <w:t xml:space="preserve">s to negotiate a new syndicated loan agreement </w:t>
      </w:r>
      <w:r w:rsidR="006906BA">
        <w:rPr>
          <w:lang w:val="en-US"/>
        </w:rPr>
        <w:t>totaling</w:t>
      </w:r>
      <w:r>
        <w:rPr>
          <w:lang w:val="en-US"/>
        </w:rPr>
        <w:t xml:space="preserve"> € </w:t>
      </w:r>
      <w:r w:rsidRPr="00044F3C">
        <w:rPr>
          <w:lang w:val="en-US"/>
        </w:rPr>
        <w:t xml:space="preserve">350 </w:t>
      </w:r>
      <w:r>
        <w:rPr>
          <w:lang w:val="en-US"/>
        </w:rPr>
        <w:t>million with its banks and insurers. The contract has a term of five years which can be extended twice by one year each</w:t>
      </w:r>
      <w:r w:rsidR="00896BEF" w:rsidRPr="00044F3C">
        <w:rPr>
          <w:lang w:val="en-US"/>
        </w:rPr>
        <w:t xml:space="preserve">, </w:t>
      </w:r>
      <w:r>
        <w:rPr>
          <w:lang w:val="en-US"/>
        </w:rPr>
        <w:t>while the amount can be increased by a further € </w:t>
      </w:r>
      <w:r w:rsidR="00896BEF" w:rsidRPr="00044F3C">
        <w:rPr>
          <w:lang w:val="en-US"/>
        </w:rPr>
        <w:t xml:space="preserve">150 </w:t>
      </w:r>
      <w:r>
        <w:rPr>
          <w:lang w:val="en-US"/>
        </w:rPr>
        <w:t>million</w:t>
      </w:r>
      <w:r w:rsidR="00896BEF" w:rsidRPr="00044F3C">
        <w:rPr>
          <w:lang w:val="en-US"/>
        </w:rPr>
        <w:t>.</w:t>
      </w:r>
    </w:p>
    <w:p w14:paraId="17894AC6" w14:textId="77777777" w:rsidR="00FF2727" w:rsidRPr="00044F3C" w:rsidRDefault="00FF2727" w:rsidP="004B64DD">
      <w:pPr>
        <w:rPr>
          <w:lang w:val="en-US"/>
        </w:rPr>
      </w:pPr>
    </w:p>
    <w:p w14:paraId="09064109" w14:textId="2FCC9EBE" w:rsidR="007D10BF" w:rsidRPr="00044F3C" w:rsidRDefault="008C6B0C" w:rsidP="004B64DD">
      <w:pPr>
        <w:rPr>
          <w:lang w:val="en-US"/>
        </w:rPr>
      </w:pPr>
      <w:r>
        <w:rPr>
          <w:lang w:val="en-US"/>
        </w:rPr>
        <w:t>“</w:t>
      </w:r>
      <w:r w:rsidR="007B01F1" w:rsidRPr="00044F3C">
        <w:rPr>
          <w:lang w:val="en-US"/>
        </w:rPr>
        <w:t>W</w:t>
      </w:r>
      <w:r>
        <w:rPr>
          <w:lang w:val="en-US"/>
        </w:rPr>
        <w:t>e have a very solid financial base in terms of both equity and debt</w:t>
      </w:r>
      <w:r w:rsidR="005F60DB">
        <w:rPr>
          <w:lang w:val="en-US"/>
        </w:rPr>
        <w:t xml:space="preserve"> that </w:t>
      </w:r>
      <w:r>
        <w:rPr>
          <w:lang w:val="en-US"/>
        </w:rPr>
        <w:t>allow</w:t>
      </w:r>
      <w:r w:rsidR="005F60DB">
        <w:rPr>
          <w:lang w:val="en-US"/>
        </w:rPr>
        <w:t xml:space="preserve">s </w:t>
      </w:r>
      <w:r>
        <w:rPr>
          <w:lang w:val="en-US"/>
        </w:rPr>
        <w:t xml:space="preserve">us to grasp such </w:t>
      </w:r>
      <w:r w:rsidR="00FF2727" w:rsidRPr="00044F3C">
        <w:rPr>
          <w:lang w:val="en-US"/>
        </w:rPr>
        <w:t>strategi</w:t>
      </w:r>
      <w:r>
        <w:rPr>
          <w:lang w:val="en-US"/>
        </w:rPr>
        <w:t xml:space="preserve">c opportunities as the </w:t>
      </w:r>
      <w:r w:rsidR="00FF2727" w:rsidRPr="00044F3C">
        <w:rPr>
          <w:lang w:val="en-US"/>
        </w:rPr>
        <w:t xml:space="preserve">Yadon </w:t>
      </w:r>
      <w:r>
        <w:rPr>
          <w:lang w:val="en-US"/>
        </w:rPr>
        <w:t xml:space="preserve">acquisition,” explained CEO </w:t>
      </w:r>
      <w:r w:rsidR="00825A16" w:rsidRPr="00044F3C">
        <w:rPr>
          <w:lang w:val="en-US"/>
        </w:rPr>
        <w:t>Klebert</w:t>
      </w:r>
      <w:r w:rsidR="007B01F1" w:rsidRPr="00044F3C">
        <w:rPr>
          <w:lang w:val="en-US"/>
        </w:rPr>
        <w:t xml:space="preserve">. </w:t>
      </w:r>
      <w:r w:rsidR="006F407F" w:rsidRPr="00044F3C">
        <w:rPr>
          <w:lang w:val="en-US"/>
        </w:rPr>
        <w:t>Net</w:t>
      </w:r>
      <w:r>
        <w:rPr>
          <w:lang w:val="en-US"/>
        </w:rPr>
        <w:t xml:space="preserve"> </w:t>
      </w:r>
      <w:r w:rsidR="006F407F" w:rsidRPr="00044F3C">
        <w:rPr>
          <w:lang w:val="en-US"/>
        </w:rPr>
        <w:t>finan</w:t>
      </w:r>
      <w:r>
        <w:rPr>
          <w:lang w:val="en-US"/>
        </w:rPr>
        <w:t xml:space="preserve">cial </w:t>
      </w:r>
      <w:r w:rsidR="006F407F" w:rsidRPr="00044F3C">
        <w:rPr>
          <w:lang w:val="en-US"/>
        </w:rPr>
        <w:t>status (liquid</w:t>
      </w:r>
      <w:r>
        <w:rPr>
          <w:lang w:val="en-US"/>
        </w:rPr>
        <w:t xml:space="preserve"> funds less f</w:t>
      </w:r>
      <w:r w:rsidR="006F407F" w:rsidRPr="00044F3C">
        <w:rPr>
          <w:lang w:val="en-US"/>
        </w:rPr>
        <w:t>inan</w:t>
      </w:r>
      <w:r>
        <w:rPr>
          <w:lang w:val="en-US"/>
        </w:rPr>
        <w:t>cial debt</w:t>
      </w:r>
      <w:r w:rsidR="006F407F" w:rsidRPr="00044F3C">
        <w:rPr>
          <w:lang w:val="en-US"/>
        </w:rPr>
        <w:t xml:space="preserve">) </w:t>
      </w:r>
      <w:r>
        <w:rPr>
          <w:lang w:val="en-US"/>
        </w:rPr>
        <w:t>amounted to € </w:t>
      </w:r>
      <w:r w:rsidR="007B01F1" w:rsidRPr="00044F3C">
        <w:rPr>
          <w:lang w:val="en-US"/>
        </w:rPr>
        <w:t xml:space="preserve">281 (404) </w:t>
      </w:r>
      <w:r>
        <w:rPr>
          <w:lang w:val="en-US"/>
        </w:rPr>
        <w:t xml:space="preserve">million in </w:t>
      </w:r>
      <w:r w:rsidRPr="00044F3C">
        <w:rPr>
          <w:lang w:val="en-US"/>
        </w:rPr>
        <w:t xml:space="preserve">2015 </w:t>
      </w:r>
      <w:r>
        <w:rPr>
          <w:lang w:val="en-US"/>
        </w:rPr>
        <w:t>and was thus still above the long-term average</w:t>
      </w:r>
      <w:r w:rsidR="007B01F1" w:rsidRPr="00044F3C">
        <w:rPr>
          <w:lang w:val="en-US"/>
        </w:rPr>
        <w:t>.</w:t>
      </w:r>
      <w:r w:rsidR="00692415" w:rsidRPr="00044F3C">
        <w:rPr>
          <w:lang w:val="en-US"/>
        </w:rPr>
        <w:t xml:space="preserve"> Schuler </w:t>
      </w:r>
      <w:r>
        <w:rPr>
          <w:lang w:val="en-US"/>
        </w:rPr>
        <w:t xml:space="preserve">increased its capital expenditures by over </w:t>
      </w:r>
      <w:r w:rsidR="00692415" w:rsidRPr="00044F3C">
        <w:rPr>
          <w:lang w:val="en-US"/>
        </w:rPr>
        <w:t xml:space="preserve">40 </w:t>
      </w:r>
      <w:r>
        <w:rPr>
          <w:lang w:val="en-US"/>
        </w:rPr>
        <w:t>percent to € </w:t>
      </w:r>
      <w:r w:rsidR="00A354D8">
        <w:rPr>
          <w:lang w:val="en-US"/>
        </w:rPr>
        <w:t>38.2</w:t>
      </w:r>
      <w:r>
        <w:rPr>
          <w:lang w:val="en-US"/>
        </w:rPr>
        <w:t xml:space="preserve"> (26.</w:t>
      </w:r>
      <w:r w:rsidR="00692415" w:rsidRPr="00044F3C">
        <w:rPr>
          <w:lang w:val="en-US"/>
        </w:rPr>
        <w:t xml:space="preserve">5) </w:t>
      </w:r>
      <w:r>
        <w:rPr>
          <w:lang w:val="en-US"/>
        </w:rPr>
        <w:t xml:space="preserve">million in </w:t>
      </w:r>
      <w:r w:rsidRPr="00044F3C">
        <w:rPr>
          <w:lang w:val="en-US"/>
        </w:rPr>
        <w:t>2015</w:t>
      </w:r>
      <w:r w:rsidR="00692415" w:rsidRPr="00044F3C">
        <w:rPr>
          <w:lang w:val="en-US"/>
        </w:rPr>
        <w:t>.</w:t>
      </w:r>
      <w:r w:rsidR="007B01F1" w:rsidRPr="00044F3C">
        <w:rPr>
          <w:lang w:val="en-US"/>
        </w:rPr>
        <w:t xml:space="preserve"> </w:t>
      </w:r>
    </w:p>
    <w:p w14:paraId="4FF9A519" w14:textId="77777777" w:rsidR="0031052B" w:rsidRPr="00044F3C" w:rsidRDefault="0031052B" w:rsidP="0031052B">
      <w:pPr>
        <w:rPr>
          <w:lang w:val="en-US"/>
        </w:rPr>
      </w:pPr>
    </w:p>
    <w:p w14:paraId="373F9E14" w14:textId="77777777" w:rsidR="00DF4D75" w:rsidRPr="00044F3C" w:rsidRDefault="00DF4D75" w:rsidP="0031052B">
      <w:pPr>
        <w:rPr>
          <w:lang w:val="en-US"/>
        </w:rPr>
      </w:pPr>
    </w:p>
    <w:p w14:paraId="1EA0319F" w14:textId="154C9486" w:rsidR="00DF4D75" w:rsidRPr="00044F3C" w:rsidRDefault="008C6B0C" w:rsidP="00DF4D75">
      <w:pPr>
        <w:rPr>
          <w:lang w:val="en-US"/>
        </w:rPr>
      </w:pPr>
      <w:r w:rsidRPr="00106542">
        <w:rPr>
          <w:b/>
          <w:lang w:val="en-US"/>
        </w:rPr>
        <w:t>Schuler Group at a glance</w:t>
      </w:r>
      <w:r w:rsidRPr="00044F3C">
        <w:rPr>
          <w:b/>
          <w:lang w:val="en-US"/>
        </w:rPr>
        <w:t xml:space="preserve"> </w:t>
      </w:r>
      <w:r w:rsidR="00DF4D75" w:rsidRPr="00044F3C">
        <w:rPr>
          <w:b/>
          <w:lang w:val="en-US"/>
        </w:rPr>
        <w:t xml:space="preserve">(IFRS): </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992"/>
        <w:gridCol w:w="1418"/>
        <w:gridCol w:w="1417"/>
      </w:tblGrid>
      <w:tr w:rsidR="00DF4D75" w:rsidRPr="00044F3C" w14:paraId="40F3A223" w14:textId="77777777" w:rsidTr="005F60DB">
        <w:tc>
          <w:tcPr>
            <w:tcW w:w="3652" w:type="dxa"/>
            <w:shd w:val="clear" w:color="auto" w:fill="auto"/>
          </w:tcPr>
          <w:p w14:paraId="029C57C3" w14:textId="77777777" w:rsidR="00DF4D75" w:rsidRPr="00044F3C" w:rsidRDefault="00DF4D75" w:rsidP="00B077EE">
            <w:pPr>
              <w:rPr>
                <w:lang w:val="en-US"/>
              </w:rPr>
            </w:pPr>
          </w:p>
        </w:tc>
        <w:tc>
          <w:tcPr>
            <w:tcW w:w="992" w:type="dxa"/>
            <w:shd w:val="clear" w:color="auto" w:fill="auto"/>
          </w:tcPr>
          <w:p w14:paraId="42DF93C1" w14:textId="77777777" w:rsidR="00DF4D75" w:rsidRPr="00044F3C" w:rsidRDefault="00DF4D75" w:rsidP="00B077EE">
            <w:pPr>
              <w:rPr>
                <w:lang w:val="en-US"/>
              </w:rPr>
            </w:pPr>
          </w:p>
        </w:tc>
        <w:tc>
          <w:tcPr>
            <w:tcW w:w="1418" w:type="dxa"/>
            <w:shd w:val="clear" w:color="auto" w:fill="auto"/>
          </w:tcPr>
          <w:p w14:paraId="16342AA2" w14:textId="77777777" w:rsidR="00DF4D75" w:rsidRPr="00044F3C" w:rsidRDefault="00DF4D75" w:rsidP="00B077EE">
            <w:pPr>
              <w:rPr>
                <w:b/>
                <w:lang w:val="en-US"/>
              </w:rPr>
            </w:pPr>
            <w:r w:rsidRPr="00044F3C">
              <w:rPr>
                <w:b/>
                <w:lang w:val="en-US"/>
              </w:rPr>
              <w:t>2015</w:t>
            </w:r>
          </w:p>
        </w:tc>
        <w:tc>
          <w:tcPr>
            <w:tcW w:w="1417" w:type="dxa"/>
            <w:shd w:val="clear" w:color="auto" w:fill="auto"/>
          </w:tcPr>
          <w:p w14:paraId="6A545953" w14:textId="77777777" w:rsidR="00DF4D75" w:rsidRPr="00044F3C" w:rsidRDefault="00DF4D75" w:rsidP="00B077EE">
            <w:pPr>
              <w:rPr>
                <w:b/>
                <w:lang w:val="en-US"/>
              </w:rPr>
            </w:pPr>
            <w:r w:rsidRPr="00044F3C">
              <w:rPr>
                <w:b/>
                <w:lang w:val="en-US"/>
              </w:rPr>
              <w:t>2014</w:t>
            </w:r>
          </w:p>
        </w:tc>
      </w:tr>
      <w:tr w:rsidR="008C6B0C" w:rsidRPr="00044F3C" w14:paraId="5713A84C" w14:textId="77777777" w:rsidTr="005F60DB">
        <w:tc>
          <w:tcPr>
            <w:tcW w:w="3652" w:type="dxa"/>
            <w:shd w:val="clear" w:color="auto" w:fill="auto"/>
          </w:tcPr>
          <w:p w14:paraId="5DA00283" w14:textId="5FF34195" w:rsidR="008C6B0C" w:rsidRPr="00044F3C" w:rsidRDefault="008C6B0C" w:rsidP="00B077EE">
            <w:pPr>
              <w:rPr>
                <w:lang w:val="en-US"/>
              </w:rPr>
            </w:pPr>
            <w:r w:rsidRPr="00106542">
              <w:rPr>
                <w:lang w:val="en-US"/>
              </w:rPr>
              <w:t>Sales</w:t>
            </w:r>
          </w:p>
        </w:tc>
        <w:tc>
          <w:tcPr>
            <w:tcW w:w="992" w:type="dxa"/>
            <w:shd w:val="clear" w:color="auto" w:fill="auto"/>
          </w:tcPr>
          <w:p w14:paraId="5E8D47B6" w14:textId="0337EEE7"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6D04EF13" w14:textId="55353419" w:rsidR="008C6B0C" w:rsidRPr="00044F3C" w:rsidRDefault="008C6B0C" w:rsidP="00B077EE">
            <w:pPr>
              <w:rPr>
                <w:b/>
                <w:lang w:val="en-US"/>
              </w:rPr>
            </w:pPr>
            <w:r>
              <w:rPr>
                <w:b/>
                <w:lang w:val="en-US"/>
              </w:rPr>
              <w:t>1,</w:t>
            </w:r>
            <w:r w:rsidRPr="00044F3C">
              <w:rPr>
                <w:b/>
                <w:lang w:val="en-US"/>
              </w:rPr>
              <w:t>200</w:t>
            </w:r>
            <w:r>
              <w:rPr>
                <w:b/>
                <w:lang w:val="en-US"/>
              </w:rPr>
              <w:t>.</w:t>
            </w:r>
            <w:r w:rsidRPr="00044F3C">
              <w:rPr>
                <w:b/>
                <w:lang w:val="en-US"/>
              </w:rPr>
              <w:t>0</w:t>
            </w:r>
          </w:p>
        </w:tc>
        <w:tc>
          <w:tcPr>
            <w:tcW w:w="1417" w:type="dxa"/>
            <w:shd w:val="clear" w:color="auto" w:fill="auto"/>
            <w:vAlign w:val="center"/>
          </w:tcPr>
          <w:p w14:paraId="7154A38F" w14:textId="5E0605A2" w:rsidR="008C6B0C" w:rsidRPr="00044F3C" w:rsidRDefault="008C6B0C" w:rsidP="00B077EE">
            <w:pPr>
              <w:rPr>
                <w:lang w:val="en-US"/>
              </w:rPr>
            </w:pPr>
            <w:r>
              <w:rPr>
                <w:lang w:val="en-US"/>
              </w:rPr>
              <w:t>1,</w:t>
            </w:r>
            <w:r w:rsidRPr="00044F3C">
              <w:rPr>
                <w:lang w:val="en-US"/>
              </w:rPr>
              <w:t>178</w:t>
            </w:r>
            <w:r>
              <w:rPr>
                <w:lang w:val="en-US"/>
              </w:rPr>
              <w:t>.</w:t>
            </w:r>
            <w:r w:rsidRPr="00044F3C">
              <w:rPr>
                <w:lang w:val="en-US"/>
              </w:rPr>
              <w:t>5</w:t>
            </w:r>
          </w:p>
        </w:tc>
      </w:tr>
      <w:tr w:rsidR="008C6B0C" w:rsidRPr="00044F3C" w14:paraId="76BE4F8C" w14:textId="77777777" w:rsidTr="005F60DB">
        <w:tc>
          <w:tcPr>
            <w:tcW w:w="3652" w:type="dxa"/>
            <w:shd w:val="clear" w:color="auto" w:fill="auto"/>
          </w:tcPr>
          <w:p w14:paraId="282C557C" w14:textId="1FC70E0C" w:rsidR="008C6B0C" w:rsidRPr="00044F3C" w:rsidRDefault="008C6B0C" w:rsidP="00B077EE">
            <w:pPr>
              <w:rPr>
                <w:lang w:val="en-US"/>
              </w:rPr>
            </w:pPr>
            <w:r w:rsidRPr="00106542">
              <w:rPr>
                <w:lang w:val="en-US"/>
              </w:rPr>
              <w:t>New orders</w:t>
            </w:r>
          </w:p>
        </w:tc>
        <w:tc>
          <w:tcPr>
            <w:tcW w:w="992" w:type="dxa"/>
            <w:shd w:val="clear" w:color="auto" w:fill="auto"/>
          </w:tcPr>
          <w:p w14:paraId="47D842C6" w14:textId="62C49874"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4E867FC5" w14:textId="640A97B6" w:rsidR="008C6B0C" w:rsidRPr="00044F3C" w:rsidRDefault="008C6B0C" w:rsidP="00B077EE">
            <w:pPr>
              <w:rPr>
                <w:b/>
                <w:lang w:val="en-US"/>
              </w:rPr>
            </w:pPr>
            <w:r>
              <w:rPr>
                <w:b/>
                <w:lang w:val="en-US"/>
              </w:rPr>
              <w:t>1,</w:t>
            </w:r>
            <w:r w:rsidRPr="00044F3C">
              <w:rPr>
                <w:b/>
                <w:lang w:val="en-US"/>
              </w:rPr>
              <w:t>015</w:t>
            </w:r>
            <w:r>
              <w:rPr>
                <w:b/>
                <w:lang w:val="en-US"/>
              </w:rPr>
              <w:t>.</w:t>
            </w:r>
            <w:r w:rsidRPr="00044F3C">
              <w:rPr>
                <w:b/>
                <w:lang w:val="en-US"/>
              </w:rPr>
              <w:t>7</w:t>
            </w:r>
          </w:p>
        </w:tc>
        <w:tc>
          <w:tcPr>
            <w:tcW w:w="1417" w:type="dxa"/>
            <w:shd w:val="clear" w:color="auto" w:fill="auto"/>
            <w:vAlign w:val="center"/>
          </w:tcPr>
          <w:p w14:paraId="18E07A3E" w14:textId="7ACBD997" w:rsidR="008C6B0C" w:rsidRPr="00044F3C" w:rsidRDefault="008C6B0C" w:rsidP="00B077EE">
            <w:pPr>
              <w:rPr>
                <w:lang w:val="en-US"/>
              </w:rPr>
            </w:pPr>
            <w:r>
              <w:rPr>
                <w:lang w:val="en-US"/>
              </w:rPr>
              <w:t>1,</w:t>
            </w:r>
            <w:r w:rsidRPr="00044F3C">
              <w:rPr>
                <w:lang w:val="en-US"/>
              </w:rPr>
              <w:t>193</w:t>
            </w:r>
            <w:r>
              <w:rPr>
                <w:lang w:val="en-US"/>
              </w:rPr>
              <w:t>.</w:t>
            </w:r>
            <w:r w:rsidRPr="00044F3C">
              <w:rPr>
                <w:lang w:val="en-US"/>
              </w:rPr>
              <w:t>7</w:t>
            </w:r>
          </w:p>
        </w:tc>
      </w:tr>
      <w:tr w:rsidR="008C6B0C" w:rsidRPr="00044F3C" w14:paraId="2A2CDD75" w14:textId="77777777" w:rsidTr="005F60DB">
        <w:tc>
          <w:tcPr>
            <w:tcW w:w="3652" w:type="dxa"/>
            <w:shd w:val="clear" w:color="auto" w:fill="auto"/>
          </w:tcPr>
          <w:p w14:paraId="7DFEA272" w14:textId="046E9C61" w:rsidR="008C6B0C" w:rsidRPr="00044F3C" w:rsidRDefault="008C6B0C" w:rsidP="00B077EE">
            <w:pPr>
              <w:rPr>
                <w:lang w:val="en-US"/>
              </w:rPr>
            </w:pPr>
            <w:r>
              <w:rPr>
                <w:lang w:val="en-US"/>
              </w:rPr>
              <w:t>Order backlog</w:t>
            </w:r>
          </w:p>
        </w:tc>
        <w:tc>
          <w:tcPr>
            <w:tcW w:w="992" w:type="dxa"/>
            <w:shd w:val="clear" w:color="auto" w:fill="auto"/>
          </w:tcPr>
          <w:p w14:paraId="2CAAE188" w14:textId="0CF8B989"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329AEA76" w14:textId="10DD7E2F" w:rsidR="008C6B0C" w:rsidRPr="00044F3C" w:rsidRDefault="008C6B0C" w:rsidP="00B077EE">
            <w:pPr>
              <w:rPr>
                <w:b/>
                <w:lang w:val="en-US"/>
              </w:rPr>
            </w:pPr>
            <w:r w:rsidRPr="00044F3C">
              <w:rPr>
                <w:b/>
                <w:lang w:val="en-US"/>
              </w:rPr>
              <w:t>894</w:t>
            </w:r>
            <w:r>
              <w:rPr>
                <w:b/>
                <w:lang w:val="en-US"/>
              </w:rPr>
              <w:t>.</w:t>
            </w:r>
            <w:r w:rsidRPr="00044F3C">
              <w:rPr>
                <w:b/>
                <w:lang w:val="en-US"/>
              </w:rPr>
              <w:t>7</w:t>
            </w:r>
          </w:p>
        </w:tc>
        <w:tc>
          <w:tcPr>
            <w:tcW w:w="1417" w:type="dxa"/>
            <w:shd w:val="clear" w:color="auto" w:fill="auto"/>
            <w:vAlign w:val="center"/>
          </w:tcPr>
          <w:p w14:paraId="7C21725A" w14:textId="0E7CCDFB" w:rsidR="008C6B0C" w:rsidRPr="00044F3C" w:rsidRDefault="008C6B0C" w:rsidP="00B077EE">
            <w:pPr>
              <w:rPr>
                <w:lang w:val="en-US"/>
              </w:rPr>
            </w:pPr>
            <w:r>
              <w:rPr>
                <w:lang w:val="en-US"/>
              </w:rPr>
              <w:t>1,</w:t>
            </w:r>
            <w:r w:rsidRPr="00044F3C">
              <w:rPr>
                <w:lang w:val="en-US"/>
              </w:rPr>
              <w:t>057</w:t>
            </w:r>
            <w:r>
              <w:rPr>
                <w:lang w:val="en-US"/>
              </w:rPr>
              <w:t>.</w:t>
            </w:r>
            <w:r w:rsidRPr="00044F3C">
              <w:rPr>
                <w:lang w:val="en-US"/>
              </w:rPr>
              <w:t>9</w:t>
            </w:r>
          </w:p>
        </w:tc>
      </w:tr>
      <w:tr w:rsidR="008C6B0C" w:rsidRPr="00044F3C" w14:paraId="1D1E8918" w14:textId="77777777" w:rsidTr="005F60DB">
        <w:tc>
          <w:tcPr>
            <w:tcW w:w="3652" w:type="dxa"/>
            <w:shd w:val="clear" w:color="auto" w:fill="auto"/>
            <w:vAlign w:val="center"/>
          </w:tcPr>
          <w:p w14:paraId="1638A799" w14:textId="068C4F6A" w:rsidR="008C6B0C" w:rsidRPr="00044F3C" w:rsidRDefault="008C6B0C" w:rsidP="00A354D8">
            <w:pPr>
              <w:rPr>
                <w:lang w:val="en-US"/>
              </w:rPr>
            </w:pPr>
            <w:r w:rsidRPr="00044F3C">
              <w:rPr>
                <w:lang w:val="en-US"/>
              </w:rPr>
              <w:t xml:space="preserve">EBITDA </w:t>
            </w:r>
            <w:r w:rsidR="00A354D8">
              <w:rPr>
                <w:lang w:val="en-US"/>
              </w:rPr>
              <w:t xml:space="preserve">without SI </w:t>
            </w:r>
            <w:r w:rsidRPr="00044F3C">
              <w:rPr>
                <w:lang w:val="en-US"/>
              </w:rPr>
              <w:t>/</w:t>
            </w:r>
            <w:r w:rsidR="00A354D8">
              <w:rPr>
                <w:lang w:val="en-US"/>
              </w:rPr>
              <w:t xml:space="preserve"> with SI</w:t>
            </w:r>
          </w:p>
        </w:tc>
        <w:tc>
          <w:tcPr>
            <w:tcW w:w="992" w:type="dxa"/>
            <w:shd w:val="clear" w:color="auto" w:fill="auto"/>
          </w:tcPr>
          <w:p w14:paraId="1682671C" w14:textId="3E7233E9"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23BA5E70" w14:textId="0E38205E" w:rsidR="008C6B0C" w:rsidRPr="00044F3C" w:rsidRDefault="008C6B0C" w:rsidP="00B077EE">
            <w:pPr>
              <w:rPr>
                <w:b/>
                <w:lang w:val="en-US"/>
              </w:rPr>
            </w:pPr>
            <w:r w:rsidRPr="00044F3C">
              <w:rPr>
                <w:b/>
                <w:lang w:val="en-US"/>
              </w:rPr>
              <w:t>138</w:t>
            </w:r>
            <w:r>
              <w:rPr>
                <w:b/>
                <w:lang w:val="en-US"/>
              </w:rPr>
              <w:t>.</w:t>
            </w:r>
            <w:r w:rsidRPr="00044F3C">
              <w:rPr>
                <w:b/>
                <w:lang w:val="en-US"/>
              </w:rPr>
              <w:t xml:space="preserve">8 </w:t>
            </w:r>
            <w:r w:rsidRPr="00044F3C">
              <w:rPr>
                <w:lang w:val="en-US"/>
              </w:rPr>
              <w:t>/ 70</w:t>
            </w:r>
            <w:r>
              <w:rPr>
                <w:lang w:val="en-US"/>
              </w:rPr>
              <w:t>.</w:t>
            </w:r>
            <w:r w:rsidRPr="00044F3C">
              <w:rPr>
                <w:lang w:val="en-US"/>
              </w:rPr>
              <w:t>9</w:t>
            </w:r>
          </w:p>
        </w:tc>
        <w:tc>
          <w:tcPr>
            <w:tcW w:w="1417" w:type="dxa"/>
            <w:shd w:val="clear" w:color="auto" w:fill="auto"/>
            <w:vAlign w:val="center"/>
          </w:tcPr>
          <w:p w14:paraId="3FC5AA2E" w14:textId="7FEA3916" w:rsidR="008C6B0C" w:rsidRPr="00044F3C" w:rsidRDefault="008C6B0C" w:rsidP="00B077EE">
            <w:pPr>
              <w:rPr>
                <w:lang w:val="en-US"/>
              </w:rPr>
            </w:pPr>
            <w:r w:rsidRPr="00044F3C">
              <w:rPr>
                <w:lang w:val="en-US"/>
              </w:rPr>
              <w:t>110</w:t>
            </w:r>
            <w:r>
              <w:rPr>
                <w:lang w:val="en-US"/>
              </w:rPr>
              <w:t>.</w:t>
            </w:r>
            <w:r w:rsidRPr="00044F3C">
              <w:rPr>
                <w:lang w:val="en-US"/>
              </w:rPr>
              <w:t>5 / 120</w:t>
            </w:r>
            <w:r>
              <w:rPr>
                <w:lang w:val="en-US"/>
              </w:rPr>
              <w:t>.</w:t>
            </w:r>
            <w:r w:rsidRPr="00044F3C">
              <w:rPr>
                <w:lang w:val="en-US"/>
              </w:rPr>
              <w:t>9</w:t>
            </w:r>
          </w:p>
        </w:tc>
      </w:tr>
      <w:tr w:rsidR="008C6B0C" w:rsidRPr="00044F3C" w14:paraId="23660E9E" w14:textId="77777777" w:rsidTr="005F60DB">
        <w:tc>
          <w:tcPr>
            <w:tcW w:w="3652" w:type="dxa"/>
            <w:shd w:val="clear" w:color="auto" w:fill="auto"/>
            <w:vAlign w:val="center"/>
          </w:tcPr>
          <w:p w14:paraId="377E2427" w14:textId="4759E81E" w:rsidR="008C6B0C" w:rsidRPr="00044F3C" w:rsidRDefault="008C6B0C" w:rsidP="00B077EE">
            <w:pPr>
              <w:rPr>
                <w:lang w:val="en-US"/>
              </w:rPr>
            </w:pPr>
            <w:r w:rsidRPr="00044F3C">
              <w:rPr>
                <w:lang w:val="en-US"/>
              </w:rPr>
              <w:t xml:space="preserve">EBIT </w:t>
            </w:r>
            <w:r w:rsidR="00A354D8">
              <w:rPr>
                <w:lang w:val="en-US"/>
              </w:rPr>
              <w:t xml:space="preserve">without SI </w:t>
            </w:r>
            <w:r w:rsidR="00A354D8" w:rsidRPr="00044F3C">
              <w:rPr>
                <w:lang w:val="en-US"/>
              </w:rPr>
              <w:t>/</w:t>
            </w:r>
            <w:r w:rsidR="00A354D8">
              <w:rPr>
                <w:lang w:val="en-US"/>
              </w:rPr>
              <w:t xml:space="preserve"> with SI</w:t>
            </w:r>
          </w:p>
        </w:tc>
        <w:tc>
          <w:tcPr>
            <w:tcW w:w="992" w:type="dxa"/>
            <w:shd w:val="clear" w:color="auto" w:fill="auto"/>
          </w:tcPr>
          <w:p w14:paraId="7D3DBC1D" w14:textId="742DE4E2"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44669D78" w14:textId="40684350" w:rsidR="008C6B0C" w:rsidRPr="00044F3C" w:rsidRDefault="008C6B0C" w:rsidP="00B077EE">
            <w:pPr>
              <w:rPr>
                <w:b/>
                <w:lang w:val="en-US"/>
              </w:rPr>
            </w:pPr>
            <w:r w:rsidRPr="00044F3C">
              <w:rPr>
                <w:b/>
                <w:lang w:val="en-US"/>
              </w:rPr>
              <w:t>115</w:t>
            </w:r>
            <w:r>
              <w:rPr>
                <w:b/>
                <w:lang w:val="en-US"/>
              </w:rPr>
              <w:t>.</w:t>
            </w:r>
            <w:r w:rsidRPr="00044F3C">
              <w:rPr>
                <w:b/>
                <w:lang w:val="en-US"/>
              </w:rPr>
              <w:t xml:space="preserve">7 </w:t>
            </w:r>
            <w:r w:rsidRPr="00044F3C">
              <w:rPr>
                <w:lang w:val="en-US"/>
              </w:rPr>
              <w:t>/ 43</w:t>
            </w:r>
            <w:r>
              <w:rPr>
                <w:lang w:val="en-US"/>
              </w:rPr>
              <w:t>.</w:t>
            </w:r>
            <w:r w:rsidRPr="00044F3C">
              <w:rPr>
                <w:lang w:val="en-US"/>
              </w:rPr>
              <w:t>1</w:t>
            </w:r>
          </w:p>
        </w:tc>
        <w:tc>
          <w:tcPr>
            <w:tcW w:w="1417" w:type="dxa"/>
            <w:shd w:val="clear" w:color="auto" w:fill="auto"/>
            <w:vAlign w:val="center"/>
          </w:tcPr>
          <w:p w14:paraId="2FB3E507" w14:textId="75E8F687" w:rsidR="008C6B0C" w:rsidRPr="00044F3C" w:rsidRDefault="008C6B0C" w:rsidP="00B077EE">
            <w:pPr>
              <w:rPr>
                <w:lang w:val="en-US"/>
              </w:rPr>
            </w:pPr>
            <w:r w:rsidRPr="00044F3C">
              <w:rPr>
                <w:lang w:val="en-US"/>
              </w:rPr>
              <w:t>88</w:t>
            </w:r>
            <w:r>
              <w:rPr>
                <w:lang w:val="en-US"/>
              </w:rPr>
              <w:t>.</w:t>
            </w:r>
            <w:r w:rsidRPr="00044F3C">
              <w:rPr>
                <w:lang w:val="en-US"/>
              </w:rPr>
              <w:t>8 / 99</w:t>
            </w:r>
            <w:r>
              <w:rPr>
                <w:lang w:val="en-US"/>
              </w:rPr>
              <w:t>.</w:t>
            </w:r>
            <w:r w:rsidRPr="00044F3C">
              <w:rPr>
                <w:lang w:val="en-US"/>
              </w:rPr>
              <w:t>2</w:t>
            </w:r>
          </w:p>
        </w:tc>
      </w:tr>
      <w:tr w:rsidR="008C6B0C" w:rsidRPr="00044F3C" w14:paraId="4BEDDE8C" w14:textId="77777777" w:rsidTr="005F60DB">
        <w:tc>
          <w:tcPr>
            <w:tcW w:w="3652" w:type="dxa"/>
            <w:shd w:val="clear" w:color="auto" w:fill="auto"/>
            <w:vAlign w:val="center"/>
          </w:tcPr>
          <w:p w14:paraId="1D4B8B68" w14:textId="0057107E" w:rsidR="008C6B0C" w:rsidRPr="00044F3C" w:rsidRDefault="008C6B0C" w:rsidP="00B077EE">
            <w:pPr>
              <w:rPr>
                <w:lang w:val="en-US"/>
              </w:rPr>
            </w:pPr>
            <w:r w:rsidRPr="00044F3C">
              <w:rPr>
                <w:lang w:val="en-US"/>
              </w:rPr>
              <w:t xml:space="preserve">EBT </w:t>
            </w:r>
            <w:r w:rsidR="00A354D8">
              <w:rPr>
                <w:lang w:val="en-US"/>
              </w:rPr>
              <w:t xml:space="preserve">without SI </w:t>
            </w:r>
            <w:r w:rsidR="00A354D8" w:rsidRPr="00044F3C">
              <w:rPr>
                <w:lang w:val="en-US"/>
              </w:rPr>
              <w:t>/</w:t>
            </w:r>
            <w:r w:rsidR="00A354D8">
              <w:rPr>
                <w:lang w:val="en-US"/>
              </w:rPr>
              <w:t xml:space="preserve"> with SI</w:t>
            </w:r>
          </w:p>
        </w:tc>
        <w:tc>
          <w:tcPr>
            <w:tcW w:w="992" w:type="dxa"/>
            <w:shd w:val="clear" w:color="auto" w:fill="auto"/>
          </w:tcPr>
          <w:p w14:paraId="762FDD9C" w14:textId="24BA1428" w:rsidR="008C6B0C" w:rsidRPr="00044F3C" w:rsidRDefault="008C6B0C" w:rsidP="00B077EE">
            <w:pPr>
              <w:rPr>
                <w:lang w:val="en-US"/>
              </w:rPr>
            </w:pPr>
            <w:r w:rsidRPr="00283131">
              <w:rPr>
                <w:rFonts w:asciiTheme="minorHAnsi" w:hAnsiTheme="minorHAnsi"/>
                <w:lang w:val="en-US"/>
              </w:rPr>
              <w:t>€ million</w:t>
            </w:r>
          </w:p>
        </w:tc>
        <w:tc>
          <w:tcPr>
            <w:tcW w:w="1418" w:type="dxa"/>
            <w:shd w:val="clear" w:color="auto" w:fill="auto"/>
            <w:vAlign w:val="center"/>
          </w:tcPr>
          <w:p w14:paraId="255598CB" w14:textId="7CFF6F25" w:rsidR="008C6B0C" w:rsidRPr="00044F3C" w:rsidRDefault="008C6B0C" w:rsidP="00B077EE">
            <w:pPr>
              <w:rPr>
                <w:lang w:val="en-US"/>
              </w:rPr>
            </w:pPr>
            <w:r w:rsidRPr="00044F3C">
              <w:rPr>
                <w:b/>
                <w:lang w:val="en-US"/>
              </w:rPr>
              <w:t>116</w:t>
            </w:r>
            <w:r>
              <w:rPr>
                <w:b/>
                <w:lang w:val="en-US"/>
              </w:rPr>
              <w:t>.</w:t>
            </w:r>
            <w:r w:rsidRPr="00044F3C">
              <w:rPr>
                <w:b/>
                <w:lang w:val="en-US"/>
              </w:rPr>
              <w:t xml:space="preserve">6 </w:t>
            </w:r>
            <w:r w:rsidRPr="00044F3C">
              <w:rPr>
                <w:lang w:val="en-US"/>
              </w:rPr>
              <w:t>/ 44</w:t>
            </w:r>
            <w:r>
              <w:rPr>
                <w:lang w:val="en-US"/>
              </w:rPr>
              <w:t>.</w:t>
            </w:r>
            <w:r w:rsidRPr="00044F3C">
              <w:rPr>
                <w:lang w:val="en-US"/>
              </w:rPr>
              <w:t>0</w:t>
            </w:r>
          </w:p>
        </w:tc>
        <w:tc>
          <w:tcPr>
            <w:tcW w:w="1417" w:type="dxa"/>
            <w:shd w:val="clear" w:color="auto" w:fill="auto"/>
            <w:vAlign w:val="center"/>
          </w:tcPr>
          <w:p w14:paraId="5FD3659B" w14:textId="0763A977" w:rsidR="008C6B0C" w:rsidRPr="00044F3C" w:rsidRDefault="008C6B0C" w:rsidP="00B077EE">
            <w:pPr>
              <w:rPr>
                <w:lang w:val="en-US"/>
              </w:rPr>
            </w:pPr>
            <w:r w:rsidRPr="00044F3C">
              <w:rPr>
                <w:lang w:val="en-US"/>
              </w:rPr>
              <w:t>90</w:t>
            </w:r>
            <w:r>
              <w:rPr>
                <w:lang w:val="en-US"/>
              </w:rPr>
              <w:t>.</w:t>
            </w:r>
            <w:r w:rsidRPr="00044F3C">
              <w:rPr>
                <w:lang w:val="en-US"/>
              </w:rPr>
              <w:t>3 / 100</w:t>
            </w:r>
            <w:r>
              <w:rPr>
                <w:lang w:val="en-US"/>
              </w:rPr>
              <w:t>.</w:t>
            </w:r>
            <w:r w:rsidRPr="00044F3C">
              <w:rPr>
                <w:lang w:val="en-US"/>
              </w:rPr>
              <w:t>7</w:t>
            </w:r>
          </w:p>
        </w:tc>
      </w:tr>
      <w:tr w:rsidR="00D55C5C" w:rsidRPr="00044F3C" w14:paraId="4A81FA78" w14:textId="77777777" w:rsidTr="005F60DB">
        <w:tc>
          <w:tcPr>
            <w:tcW w:w="3652" w:type="dxa"/>
            <w:shd w:val="clear" w:color="auto" w:fill="auto"/>
            <w:vAlign w:val="center"/>
          </w:tcPr>
          <w:p w14:paraId="7F7F88A2" w14:textId="2157943C" w:rsidR="00D55C5C" w:rsidRPr="00044F3C" w:rsidRDefault="00D55C5C" w:rsidP="005F60DB">
            <w:pPr>
              <w:rPr>
                <w:lang w:val="en-US"/>
              </w:rPr>
            </w:pPr>
            <w:r w:rsidRPr="00044F3C">
              <w:rPr>
                <w:lang w:val="en-US"/>
              </w:rPr>
              <w:t>EBITDA</w:t>
            </w:r>
            <w:r w:rsidR="008C6B0C">
              <w:rPr>
                <w:lang w:val="en-US"/>
              </w:rPr>
              <w:t xml:space="preserve"> margin</w:t>
            </w:r>
            <w:r w:rsidRPr="00044F3C">
              <w:rPr>
                <w:lang w:val="en-US"/>
              </w:rPr>
              <w:t xml:space="preserve"> </w:t>
            </w:r>
            <w:r w:rsidR="00A354D8">
              <w:rPr>
                <w:lang w:val="en-US"/>
              </w:rPr>
              <w:t xml:space="preserve">without SI </w:t>
            </w:r>
            <w:r w:rsidR="00A354D8" w:rsidRPr="00044F3C">
              <w:rPr>
                <w:lang w:val="en-US"/>
              </w:rPr>
              <w:t>/</w:t>
            </w:r>
            <w:r w:rsidR="00A354D8">
              <w:rPr>
                <w:lang w:val="en-US"/>
              </w:rPr>
              <w:t xml:space="preserve"> with SI</w:t>
            </w:r>
          </w:p>
        </w:tc>
        <w:tc>
          <w:tcPr>
            <w:tcW w:w="992" w:type="dxa"/>
            <w:shd w:val="clear" w:color="auto" w:fill="auto"/>
            <w:vAlign w:val="center"/>
          </w:tcPr>
          <w:p w14:paraId="5AA99EA5" w14:textId="77777777" w:rsidR="00D55C5C" w:rsidRPr="00044F3C" w:rsidRDefault="00D55C5C" w:rsidP="00077ED1">
            <w:pPr>
              <w:rPr>
                <w:lang w:val="en-US"/>
              </w:rPr>
            </w:pPr>
            <w:r w:rsidRPr="00044F3C">
              <w:rPr>
                <w:lang w:val="en-US"/>
              </w:rPr>
              <w:t>%</w:t>
            </w:r>
          </w:p>
        </w:tc>
        <w:tc>
          <w:tcPr>
            <w:tcW w:w="1418" w:type="dxa"/>
            <w:shd w:val="clear" w:color="auto" w:fill="auto"/>
            <w:vAlign w:val="center"/>
          </w:tcPr>
          <w:p w14:paraId="3837FA15" w14:textId="765D8DD9" w:rsidR="00D55C5C" w:rsidRPr="00044F3C" w:rsidRDefault="00BA09F2" w:rsidP="00077ED1">
            <w:pPr>
              <w:rPr>
                <w:lang w:val="en-US"/>
              </w:rPr>
            </w:pPr>
            <w:r w:rsidRPr="00044F3C">
              <w:rPr>
                <w:b/>
                <w:lang w:val="en-US"/>
              </w:rPr>
              <w:t>11</w:t>
            </w:r>
            <w:r w:rsidR="008C6B0C">
              <w:rPr>
                <w:b/>
                <w:lang w:val="en-US"/>
              </w:rPr>
              <w:t>.</w:t>
            </w:r>
            <w:r w:rsidRPr="00044F3C">
              <w:rPr>
                <w:b/>
                <w:lang w:val="en-US"/>
              </w:rPr>
              <w:t xml:space="preserve">6 </w:t>
            </w:r>
            <w:r w:rsidRPr="00044F3C">
              <w:rPr>
                <w:lang w:val="en-US"/>
              </w:rPr>
              <w:t xml:space="preserve">/ </w:t>
            </w:r>
            <w:r w:rsidR="00D55C5C" w:rsidRPr="00044F3C">
              <w:rPr>
                <w:lang w:val="en-US"/>
              </w:rPr>
              <w:t>5</w:t>
            </w:r>
            <w:r w:rsidR="008C6B0C">
              <w:rPr>
                <w:lang w:val="en-US"/>
              </w:rPr>
              <w:t>.</w:t>
            </w:r>
            <w:r w:rsidR="00D55C5C" w:rsidRPr="00044F3C">
              <w:rPr>
                <w:lang w:val="en-US"/>
              </w:rPr>
              <w:t>9</w:t>
            </w:r>
          </w:p>
        </w:tc>
        <w:tc>
          <w:tcPr>
            <w:tcW w:w="1417" w:type="dxa"/>
            <w:shd w:val="clear" w:color="auto" w:fill="auto"/>
            <w:vAlign w:val="center"/>
          </w:tcPr>
          <w:p w14:paraId="5681BECF" w14:textId="2EA729A9" w:rsidR="00D55C5C" w:rsidRPr="00044F3C" w:rsidRDefault="00BA09F2" w:rsidP="00077ED1">
            <w:pPr>
              <w:rPr>
                <w:lang w:val="en-US"/>
              </w:rPr>
            </w:pPr>
            <w:r w:rsidRPr="00044F3C">
              <w:rPr>
                <w:lang w:val="en-US"/>
              </w:rPr>
              <w:t>9</w:t>
            </w:r>
            <w:r w:rsidR="008C6B0C">
              <w:rPr>
                <w:lang w:val="en-US"/>
              </w:rPr>
              <w:t>.</w:t>
            </w:r>
            <w:r w:rsidRPr="00044F3C">
              <w:rPr>
                <w:lang w:val="en-US"/>
              </w:rPr>
              <w:t xml:space="preserve">4 / </w:t>
            </w:r>
            <w:r w:rsidR="00D55C5C" w:rsidRPr="00044F3C">
              <w:rPr>
                <w:lang w:val="en-US"/>
              </w:rPr>
              <w:t>10</w:t>
            </w:r>
            <w:r w:rsidR="008C6B0C">
              <w:rPr>
                <w:lang w:val="en-US"/>
              </w:rPr>
              <w:t>.</w:t>
            </w:r>
            <w:r w:rsidR="00D55C5C" w:rsidRPr="00044F3C">
              <w:rPr>
                <w:lang w:val="en-US"/>
              </w:rPr>
              <w:t>3</w:t>
            </w:r>
          </w:p>
        </w:tc>
      </w:tr>
      <w:tr w:rsidR="008C6B0C" w:rsidRPr="00044F3C" w14:paraId="43219766" w14:textId="77777777" w:rsidTr="005F60DB">
        <w:tc>
          <w:tcPr>
            <w:tcW w:w="3652" w:type="dxa"/>
            <w:shd w:val="clear" w:color="auto" w:fill="auto"/>
            <w:vAlign w:val="center"/>
          </w:tcPr>
          <w:p w14:paraId="77729D50" w14:textId="40486F40" w:rsidR="008C6B0C" w:rsidRPr="00044F3C" w:rsidRDefault="008C6B0C" w:rsidP="00B077EE">
            <w:pPr>
              <w:rPr>
                <w:lang w:val="en-US"/>
              </w:rPr>
            </w:pPr>
            <w:r w:rsidRPr="00106542">
              <w:rPr>
                <w:lang w:val="en-US"/>
              </w:rPr>
              <w:t>Group profit</w:t>
            </w:r>
          </w:p>
        </w:tc>
        <w:tc>
          <w:tcPr>
            <w:tcW w:w="992" w:type="dxa"/>
            <w:shd w:val="clear" w:color="auto" w:fill="auto"/>
          </w:tcPr>
          <w:p w14:paraId="030A1076" w14:textId="2F33065D" w:rsidR="008C6B0C" w:rsidRPr="00044F3C" w:rsidRDefault="008C6B0C" w:rsidP="00B077EE">
            <w:pPr>
              <w:rPr>
                <w:lang w:val="en-US"/>
              </w:rPr>
            </w:pPr>
            <w:r w:rsidRPr="00201E95">
              <w:rPr>
                <w:rFonts w:asciiTheme="minorHAnsi" w:hAnsiTheme="minorHAnsi"/>
                <w:lang w:val="en-US"/>
              </w:rPr>
              <w:t>€ million</w:t>
            </w:r>
          </w:p>
        </w:tc>
        <w:tc>
          <w:tcPr>
            <w:tcW w:w="1418" w:type="dxa"/>
            <w:shd w:val="clear" w:color="auto" w:fill="auto"/>
            <w:vAlign w:val="center"/>
          </w:tcPr>
          <w:p w14:paraId="34261EDD" w14:textId="41159CC6" w:rsidR="008C6B0C" w:rsidRPr="00044F3C" w:rsidRDefault="008C6B0C" w:rsidP="00B077EE">
            <w:pPr>
              <w:rPr>
                <w:b/>
                <w:lang w:val="en-US"/>
              </w:rPr>
            </w:pPr>
            <w:r w:rsidRPr="00044F3C">
              <w:rPr>
                <w:b/>
                <w:lang w:val="en-US"/>
              </w:rPr>
              <w:t>39</w:t>
            </w:r>
            <w:r>
              <w:rPr>
                <w:b/>
                <w:lang w:val="en-US"/>
              </w:rPr>
              <w:t>.</w:t>
            </w:r>
            <w:r w:rsidRPr="00044F3C">
              <w:rPr>
                <w:b/>
                <w:lang w:val="en-US"/>
              </w:rPr>
              <w:t>3</w:t>
            </w:r>
          </w:p>
        </w:tc>
        <w:tc>
          <w:tcPr>
            <w:tcW w:w="1417" w:type="dxa"/>
            <w:shd w:val="clear" w:color="auto" w:fill="auto"/>
            <w:vAlign w:val="center"/>
          </w:tcPr>
          <w:p w14:paraId="357ACD45" w14:textId="3D4CEF6B" w:rsidR="008C6B0C" w:rsidRPr="00044F3C" w:rsidRDefault="008C6B0C" w:rsidP="00B077EE">
            <w:pPr>
              <w:rPr>
                <w:lang w:val="en-US"/>
              </w:rPr>
            </w:pPr>
            <w:r w:rsidRPr="00044F3C">
              <w:rPr>
                <w:lang w:val="en-US"/>
              </w:rPr>
              <w:t>66</w:t>
            </w:r>
            <w:r>
              <w:rPr>
                <w:lang w:val="en-US"/>
              </w:rPr>
              <w:t>.</w:t>
            </w:r>
            <w:r w:rsidRPr="00044F3C">
              <w:rPr>
                <w:lang w:val="en-US"/>
              </w:rPr>
              <w:t>9</w:t>
            </w:r>
          </w:p>
        </w:tc>
      </w:tr>
      <w:tr w:rsidR="008C6B0C" w:rsidRPr="00044F3C" w14:paraId="21DEE6AE" w14:textId="77777777" w:rsidTr="005F60DB">
        <w:tc>
          <w:tcPr>
            <w:tcW w:w="3652" w:type="dxa"/>
            <w:shd w:val="clear" w:color="auto" w:fill="auto"/>
            <w:vAlign w:val="center"/>
          </w:tcPr>
          <w:p w14:paraId="7AB9FAE5" w14:textId="560B5AAA" w:rsidR="008C6B0C" w:rsidRPr="00044F3C" w:rsidRDefault="008C6B0C" w:rsidP="00B077EE">
            <w:pPr>
              <w:rPr>
                <w:lang w:val="en-US"/>
              </w:rPr>
            </w:pPr>
            <w:r w:rsidRPr="00106542">
              <w:rPr>
                <w:lang w:val="en-US"/>
              </w:rPr>
              <w:t>Total statement of financial positions</w:t>
            </w:r>
          </w:p>
        </w:tc>
        <w:tc>
          <w:tcPr>
            <w:tcW w:w="992" w:type="dxa"/>
            <w:shd w:val="clear" w:color="auto" w:fill="auto"/>
          </w:tcPr>
          <w:p w14:paraId="4BDB1109" w14:textId="1E95F071" w:rsidR="008C6B0C" w:rsidRPr="00044F3C" w:rsidRDefault="008C6B0C" w:rsidP="00B077EE">
            <w:pPr>
              <w:rPr>
                <w:lang w:val="en-US"/>
              </w:rPr>
            </w:pPr>
            <w:r w:rsidRPr="00201E95">
              <w:rPr>
                <w:rFonts w:asciiTheme="minorHAnsi" w:hAnsiTheme="minorHAnsi"/>
                <w:lang w:val="en-US"/>
              </w:rPr>
              <w:t>€ million</w:t>
            </w:r>
          </w:p>
        </w:tc>
        <w:tc>
          <w:tcPr>
            <w:tcW w:w="1418" w:type="dxa"/>
            <w:shd w:val="clear" w:color="auto" w:fill="auto"/>
            <w:vAlign w:val="center"/>
          </w:tcPr>
          <w:p w14:paraId="2E296B33" w14:textId="762443E9" w:rsidR="008C6B0C" w:rsidRPr="00044F3C" w:rsidRDefault="008C6B0C" w:rsidP="00B077EE">
            <w:pPr>
              <w:rPr>
                <w:b/>
                <w:lang w:val="en-US"/>
              </w:rPr>
            </w:pPr>
            <w:r>
              <w:rPr>
                <w:b/>
                <w:lang w:val="en-US"/>
              </w:rPr>
              <w:t>1,</w:t>
            </w:r>
            <w:r w:rsidRPr="00044F3C">
              <w:rPr>
                <w:b/>
                <w:lang w:val="en-US"/>
              </w:rPr>
              <w:t>074</w:t>
            </w:r>
            <w:r>
              <w:rPr>
                <w:b/>
                <w:lang w:val="en-US"/>
              </w:rPr>
              <w:t>.</w:t>
            </w:r>
            <w:r w:rsidRPr="00044F3C">
              <w:rPr>
                <w:b/>
                <w:lang w:val="en-US"/>
              </w:rPr>
              <w:t>5</w:t>
            </w:r>
          </w:p>
        </w:tc>
        <w:tc>
          <w:tcPr>
            <w:tcW w:w="1417" w:type="dxa"/>
            <w:shd w:val="clear" w:color="auto" w:fill="auto"/>
            <w:vAlign w:val="center"/>
          </w:tcPr>
          <w:p w14:paraId="060250B5" w14:textId="6921FB65" w:rsidR="008C6B0C" w:rsidRPr="00044F3C" w:rsidRDefault="008C6B0C" w:rsidP="00B077EE">
            <w:pPr>
              <w:rPr>
                <w:lang w:val="en-US"/>
              </w:rPr>
            </w:pPr>
            <w:r>
              <w:rPr>
                <w:lang w:val="en-US"/>
              </w:rPr>
              <w:t>1,</w:t>
            </w:r>
            <w:r w:rsidRPr="00044F3C">
              <w:rPr>
                <w:lang w:val="en-US"/>
              </w:rPr>
              <w:t>121</w:t>
            </w:r>
            <w:r>
              <w:rPr>
                <w:lang w:val="en-US"/>
              </w:rPr>
              <w:t>.</w:t>
            </w:r>
            <w:r w:rsidRPr="00044F3C">
              <w:rPr>
                <w:lang w:val="en-US"/>
              </w:rPr>
              <w:t>7</w:t>
            </w:r>
          </w:p>
        </w:tc>
      </w:tr>
      <w:tr w:rsidR="008C6B0C" w:rsidRPr="00044F3C" w14:paraId="4556F615" w14:textId="77777777" w:rsidTr="005F60DB">
        <w:tc>
          <w:tcPr>
            <w:tcW w:w="3652" w:type="dxa"/>
            <w:shd w:val="clear" w:color="auto" w:fill="auto"/>
          </w:tcPr>
          <w:p w14:paraId="7F445A27" w14:textId="04254601" w:rsidR="008C6B0C" w:rsidRPr="00044F3C" w:rsidRDefault="008C6B0C" w:rsidP="00B077EE">
            <w:pPr>
              <w:rPr>
                <w:lang w:val="en-US"/>
              </w:rPr>
            </w:pPr>
            <w:r w:rsidRPr="00106542">
              <w:rPr>
                <w:lang w:val="en-US"/>
              </w:rPr>
              <w:t>Shareholders’ equity</w:t>
            </w:r>
          </w:p>
        </w:tc>
        <w:tc>
          <w:tcPr>
            <w:tcW w:w="992" w:type="dxa"/>
            <w:shd w:val="clear" w:color="auto" w:fill="auto"/>
          </w:tcPr>
          <w:p w14:paraId="7C438C2A" w14:textId="242D3070" w:rsidR="008C6B0C" w:rsidRPr="00044F3C" w:rsidRDefault="008C6B0C" w:rsidP="00B077EE">
            <w:pPr>
              <w:rPr>
                <w:lang w:val="en-US"/>
              </w:rPr>
            </w:pPr>
            <w:r w:rsidRPr="00201E95">
              <w:rPr>
                <w:rFonts w:asciiTheme="minorHAnsi" w:hAnsiTheme="minorHAnsi"/>
                <w:lang w:val="en-US"/>
              </w:rPr>
              <w:t>€ million</w:t>
            </w:r>
          </w:p>
        </w:tc>
        <w:tc>
          <w:tcPr>
            <w:tcW w:w="1418" w:type="dxa"/>
            <w:shd w:val="clear" w:color="auto" w:fill="auto"/>
            <w:vAlign w:val="center"/>
          </w:tcPr>
          <w:p w14:paraId="46652D28" w14:textId="74F47AFB" w:rsidR="008C6B0C" w:rsidRPr="00044F3C" w:rsidRDefault="008C6B0C" w:rsidP="00B077EE">
            <w:pPr>
              <w:rPr>
                <w:b/>
                <w:lang w:val="en-US"/>
              </w:rPr>
            </w:pPr>
            <w:r w:rsidRPr="00044F3C">
              <w:rPr>
                <w:b/>
                <w:lang w:val="en-US"/>
              </w:rPr>
              <w:t>369</w:t>
            </w:r>
            <w:r>
              <w:rPr>
                <w:b/>
                <w:lang w:val="en-US"/>
              </w:rPr>
              <w:t>.</w:t>
            </w:r>
            <w:r w:rsidRPr="00044F3C">
              <w:rPr>
                <w:b/>
                <w:lang w:val="en-US"/>
              </w:rPr>
              <w:t>1</w:t>
            </w:r>
          </w:p>
        </w:tc>
        <w:tc>
          <w:tcPr>
            <w:tcW w:w="1417" w:type="dxa"/>
            <w:shd w:val="clear" w:color="auto" w:fill="auto"/>
            <w:vAlign w:val="center"/>
          </w:tcPr>
          <w:p w14:paraId="328221C9" w14:textId="5562B6D9" w:rsidR="008C6B0C" w:rsidRPr="00044F3C" w:rsidRDefault="008C6B0C" w:rsidP="00B077EE">
            <w:pPr>
              <w:rPr>
                <w:lang w:val="en-US"/>
              </w:rPr>
            </w:pPr>
            <w:r w:rsidRPr="00044F3C">
              <w:rPr>
                <w:lang w:val="en-US"/>
              </w:rPr>
              <w:t>322</w:t>
            </w:r>
            <w:r>
              <w:rPr>
                <w:lang w:val="en-US"/>
              </w:rPr>
              <w:t>.</w:t>
            </w:r>
            <w:r w:rsidRPr="00044F3C">
              <w:rPr>
                <w:lang w:val="en-US"/>
              </w:rPr>
              <w:t>0</w:t>
            </w:r>
          </w:p>
        </w:tc>
      </w:tr>
      <w:tr w:rsidR="008C6B0C" w:rsidRPr="00044F3C" w14:paraId="3C25F5E6" w14:textId="77777777" w:rsidTr="005F60DB">
        <w:tc>
          <w:tcPr>
            <w:tcW w:w="3652" w:type="dxa"/>
            <w:shd w:val="clear" w:color="auto" w:fill="auto"/>
          </w:tcPr>
          <w:p w14:paraId="342B6A35" w14:textId="5FAA6F7B" w:rsidR="008C6B0C" w:rsidRPr="00044F3C" w:rsidRDefault="008C6B0C" w:rsidP="00B077EE">
            <w:pPr>
              <w:rPr>
                <w:lang w:val="en-US"/>
              </w:rPr>
            </w:pPr>
            <w:r>
              <w:rPr>
                <w:lang w:val="en-US"/>
              </w:rPr>
              <w:t>Equity ratio</w:t>
            </w:r>
            <w:r w:rsidRPr="00106542">
              <w:rPr>
                <w:vertAlign w:val="superscript"/>
                <w:lang w:val="en-US"/>
              </w:rPr>
              <w:t>2</w:t>
            </w:r>
          </w:p>
        </w:tc>
        <w:tc>
          <w:tcPr>
            <w:tcW w:w="992" w:type="dxa"/>
            <w:shd w:val="clear" w:color="auto" w:fill="auto"/>
            <w:vAlign w:val="center"/>
          </w:tcPr>
          <w:p w14:paraId="00964049" w14:textId="77777777" w:rsidR="008C6B0C" w:rsidRPr="00044F3C" w:rsidRDefault="008C6B0C" w:rsidP="00B077EE">
            <w:pPr>
              <w:rPr>
                <w:lang w:val="en-US"/>
              </w:rPr>
            </w:pPr>
            <w:r w:rsidRPr="00044F3C">
              <w:rPr>
                <w:lang w:val="en-US"/>
              </w:rPr>
              <w:t>%</w:t>
            </w:r>
          </w:p>
        </w:tc>
        <w:tc>
          <w:tcPr>
            <w:tcW w:w="1418" w:type="dxa"/>
            <w:shd w:val="clear" w:color="auto" w:fill="auto"/>
            <w:vAlign w:val="center"/>
          </w:tcPr>
          <w:p w14:paraId="1F2CD982" w14:textId="6F431850" w:rsidR="008C6B0C" w:rsidRPr="00044F3C" w:rsidRDefault="008C6B0C" w:rsidP="00B077EE">
            <w:pPr>
              <w:rPr>
                <w:b/>
                <w:lang w:val="en-US"/>
              </w:rPr>
            </w:pPr>
            <w:r w:rsidRPr="00044F3C">
              <w:rPr>
                <w:b/>
                <w:lang w:val="en-US"/>
              </w:rPr>
              <w:t>34</w:t>
            </w:r>
            <w:r>
              <w:rPr>
                <w:b/>
                <w:lang w:val="en-US"/>
              </w:rPr>
              <w:t>.</w:t>
            </w:r>
            <w:r w:rsidRPr="00044F3C">
              <w:rPr>
                <w:b/>
                <w:lang w:val="en-US"/>
              </w:rPr>
              <w:t>3</w:t>
            </w:r>
          </w:p>
        </w:tc>
        <w:tc>
          <w:tcPr>
            <w:tcW w:w="1417" w:type="dxa"/>
            <w:shd w:val="clear" w:color="auto" w:fill="auto"/>
            <w:vAlign w:val="center"/>
          </w:tcPr>
          <w:p w14:paraId="16A1116B" w14:textId="72A93FB2" w:rsidR="008C6B0C" w:rsidRPr="00044F3C" w:rsidRDefault="008C6B0C" w:rsidP="00B077EE">
            <w:pPr>
              <w:rPr>
                <w:lang w:val="en-US"/>
              </w:rPr>
            </w:pPr>
            <w:r w:rsidRPr="00044F3C">
              <w:rPr>
                <w:lang w:val="en-US"/>
              </w:rPr>
              <w:t>28</w:t>
            </w:r>
            <w:r>
              <w:rPr>
                <w:lang w:val="en-US"/>
              </w:rPr>
              <w:t>.</w:t>
            </w:r>
            <w:r w:rsidRPr="00044F3C">
              <w:rPr>
                <w:lang w:val="en-US"/>
              </w:rPr>
              <w:t>7</w:t>
            </w:r>
          </w:p>
        </w:tc>
      </w:tr>
      <w:tr w:rsidR="008C6B0C" w:rsidRPr="00044F3C" w14:paraId="3492F721" w14:textId="77777777" w:rsidTr="005F60DB">
        <w:tc>
          <w:tcPr>
            <w:tcW w:w="3652" w:type="dxa"/>
            <w:shd w:val="clear" w:color="auto" w:fill="auto"/>
          </w:tcPr>
          <w:p w14:paraId="17574758" w14:textId="609E168E" w:rsidR="008C6B0C" w:rsidRPr="00044F3C" w:rsidRDefault="008C6B0C" w:rsidP="00B077EE">
            <w:pPr>
              <w:rPr>
                <w:lang w:val="en-US"/>
              </w:rPr>
            </w:pPr>
            <w:r w:rsidRPr="00106542">
              <w:rPr>
                <w:lang w:val="en-US"/>
              </w:rPr>
              <w:t>Net financial status</w:t>
            </w:r>
            <w:r w:rsidRPr="00106542">
              <w:rPr>
                <w:vertAlign w:val="superscript"/>
                <w:lang w:val="en-US"/>
              </w:rPr>
              <w:t>2</w:t>
            </w:r>
          </w:p>
        </w:tc>
        <w:tc>
          <w:tcPr>
            <w:tcW w:w="992" w:type="dxa"/>
            <w:shd w:val="clear" w:color="auto" w:fill="auto"/>
            <w:vAlign w:val="center"/>
          </w:tcPr>
          <w:p w14:paraId="0A58C168" w14:textId="6A3B4BFF" w:rsidR="008C6B0C" w:rsidRPr="00044F3C" w:rsidRDefault="008C6B0C" w:rsidP="00B077EE">
            <w:pPr>
              <w:rPr>
                <w:lang w:val="en-US"/>
              </w:rPr>
            </w:pPr>
            <w:r w:rsidRPr="00106542">
              <w:rPr>
                <w:rFonts w:asciiTheme="minorHAnsi" w:hAnsiTheme="minorHAnsi"/>
                <w:lang w:val="en-US"/>
              </w:rPr>
              <w:t>€ million</w:t>
            </w:r>
          </w:p>
        </w:tc>
        <w:tc>
          <w:tcPr>
            <w:tcW w:w="1418" w:type="dxa"/>
            <w:shd w:val="clear" w:color="auto" w:fill="auto"/>
            <w:vAlign w:val="center"/>
          </w:tcPr>
          <w:p w14:paraId="0A005C5F" w14:textId="54BC2978" w:rsidR="008C6B0C" w:rsidRPr="00044F3C" w:rsidRDefault="008C6B0C" w:rsidP="00B077EE">
            <w:pPr>
              <w:rPr>
                <w:b/>
                <w:lang w:val="en-US"/>
              </w:rPr>
            </w:pPr>
            <w:r w:rsidRPr="00044F3C">
              <w:rPr>
                <w:b/>
                <w:lang w:val="en-US"/>
              </w:rPr>
              <w:t>281</w:t>
            </w:r>
            <w:r>
              <w:rPr>
                <w:b/>
                <w:lang w:val="en-US"/>
              </w:rPr>
              <w:t>.</w:t>
            </w:r>
            <w:r w:rsidRPr="00044F3C">
              <w:rPr>
                <w:b/>
                <w:lang w:val="en-US"/>
              </w:rPr>
              <w:t>3</w:t>
            </w:r>
          </w:p>
        </w:tc>
        <w:tc>
          <w:tcPr>
            <w:tcW w:w="1417" w:type="dxa"/>
            <w:shd w:val="clear" w:color="auto" w:fill="auto"/>
            <w:vAlign w:val="center"/>
          </w:tcPr>
          <w:p w14:paraId="4AE454B8" w14:textId="10D9328B" w:rsidR="008C6B0C" w:rsidRPr="00044F3C" w:rsidRDefault="008C6B0C" w:rsidP="00B077EE">
            <w:pPr>
              <w:rPr>
                <w:lang w:val="en-US"/>
              </w:rPr>
            </w:pPr>
            <w:r w:rsidRPr="00044F3C">
              <w:rPr>
                <w:lang w:val="en-US"/>
              </w:rPr>
              <w:t>403</w:t>
            </w:r>
            <w:r>
              <w:rPr>
                <w:lang w:val="en-US"/>
              </w:rPr>
              <w:t>.</w:t>
            </w:r>
            <w:r w:rsidRPr="00044F3C">
              <w:rPr>
                <w:lang w:val="en-US"/>
              </w:rPr>
              <w:t>9</w:t>
            </w:r>
          </w:p>
        </w:tc>
      </w:tr>
      <w:tr w:rsidR="00DF4D75" w:rsidRPr="00044F3C" w14:paraId="4A71C4F8" w14:textId="77777777" w:rsidTr="005F60DB">
        <w:tc>
          <w:tcPr>
            <w:tcW w:w="3652" w:type="dxa"/>
            <w:shd w:val="clear" w:color="auto" w:fill="auto"/>
            <w:vAlign w:val="center"/>
          </w:tcPr>
          <w:p w14:paraId="051F7021" w14:textId="586FF61D" w:rsidR="00DF4D75" w:rsidRPr="00044F3C" w:rsidRDefault="008C6B0C" w:rsidP="008C6B0C">
            <w:pPr>
              <w:rPr>
                <w:lang w:val="en-US"/>
              </w:rPr>
            </w:pPr>
            <w:r>
              <w:rPr>
                <w:lang w:val="en-US"/>
              </w:rPr>
              <w:t>Employees</w:t>
            </w:r>
            <w:r>
              <w:rPr>
                <w:vertAlign w:val="superscript"/>
                <w:lang w:val="en-US"/>
              </w:rPr>
              <w:t xml:space="preserve"> </w:t>
            </w:r>
            <w:r>
              <w:rPr>
                <w:lang w:val="en-US"/>
              </w:rPr>
              <w:t>inc</w:t>
            </w:r>
            <w:r w:rsidR="00DF4D75" w:rsidRPr="00044F3C">
              <w:rPr>
                <w:lang w:val="en-US"/>
              </w:rPr>
              <w:t xml:space="preserve">l. </w:t>
            </w:r>
            <w:r>
              <w:rPr>
                <w:lang w:val="en-US"/>
              </w:rPr>
              <w:t>apprentices</w:t>
            </w:r>
          </w:p>
        </w:tc>
        <w:tc>
          <w:tcPr>
            <w:tcW w:w="992" w:type="dxa"/>
            <w:shd w:val="clear" w:color="auto" w:fill="auto"/>
            <w:vAlign w:val="center"/>
          </w:tcPr>
          <w:p w14:paraId="221D4BE0" w14:textId="2B5CF2AE" w:rsidR="00DF4D75" w:rsidRPr="00044F3C" w:rsidRDefault="008C6B0C" w:rsidP="00B077EE">
            <w:pPr>
              <w:rPr>
                <w:lang w:val="en-US"/>
              </w:rPr>
            </w:pPr>
            <w:r w:rsidRPr="00106542">
              <w:rPr>
                <w:lang w:val="en-US"/>
              </w:rPr>
              <w:t>person</w:t>
            </w:r>
            <w:r>
              <w:rPr>
                <w:lang w:val="en-US"/>
              </w:rPr>
              <w:t>s</w:t>
            </w:r>
          </w:p>
        </w:tc>
        <w:tc>
          <w:tcPr>
            <w:tcW w:w="1418" w:type="dxa"/>
            <w:shd w:val="clear" w:color="auto" w:fill="auto"/>
            <w:vAlign w:val="center"/>
          </w:tcPr>
          <w:p w14:paraId="58F49874" w14:textId="1DB9AE26" w:rsidR="00DF4D75" w:rsidRPr="00044F3C" w:rsidRDefault="008C6B0C" w:rsidP="00B077EE">
            <w:pPr>
              <w:rPr>
                <w:b/>
                <w:lang w:val="en-US"/>
              </w:rPr>
            </w:pPr>
            <w:r>
              <w:rPr>
                <w:b/>
                <w:lang w:val="en-US"/>
              </w:rPr>
              <w:t>5,</w:t>
            </w:r>
            <w:r w:rsidR="00DF4D75" w:rsidRPr="00044F3C">
              <w:rPr>
                <w:b/>
                <w:lang w:val="en-US"/>
              </w:rPr>
              <w:t>176</w:t>
            </w:r>
          </w:p>
        </w:tc>
        <w:tc>
          <w:tcPr>
            <w:tcW w:w="1417" w:type="dxa"/>
            <w:shd w:val="clear" w:color="auto" w:fill="auto"/>
            <w:vAlign w:val="center"/>
          </w:tcPr>
          <w:p w14:paraId="3A89904E" w14:textId="04E438BC" w:rsidR="00DF4D75" w:rsidRPr="00044F3C" w:rsidRDefault="008C6B0C" w:rsidP="00B077EE">
            <w:pPr>
              <w:rPr>
                <w:lang w:val="en-US"/>
              </w:rPr>
            </w:pPr>
            <w:r>
              <w:rPr>
                <w:lang w:val="en-US"/>
              </w:rPr>
              <w:t>5,</w:t>
            </w:r>
            <w:r w:rsidR="00DF4D75" w:rsidRPr="00044F3C">
              <w:rPr>
                <w:lang w:val="en-US"/>
              </w:rPr>
              <w:t>423</w:t>
            </w:r>
          </w:p>
        </w:tc>
      </w:tr>
    </w:tbl>
    <w:p w14:paraId="099E469F" w14:textId="77777777" w:rsidR="00DF4D75" w:rsidRPr="00044F3C" w:rsidRDefault="00DF4D75" w:rsidP="00DF4D75">
      <w:pPr>
        <w:rPr>
          <w:lang w:val="en-US"/>
        </w:rPr>
      </w:pPr>
    </w:p>
    <w:p w14:paraId="18080427" w14:textId="5235DB79" w:rsidR="00DF4D75" w:rsidRDefault="00A354D8" w:rsidP="00A354D8">
      <w:pPr>
        <w:ind w:left="426" w:hanging="426"/>
        <w:rPr>
          <w:lang w:val="en-US"/>
        </w:rPr>
      </w:pPr>
      <w:r>
        <w:rPr>
          <w:lang w:val="en-US"/>
        </w:rPr>
        <w:t xml:space="preserve">SI = </w:t>
      </w:r>
      <w:r>
        <w:rPr>
          <w:lang w:val="en-US"/>
        </w:rPr>
        <w:tab/>
        <w:t>special items affecting income from the implementation of    restructuring programs</w:t>
      </w:r>
    </w:p>
    <w:p w14:paraId="0AB65903" w14:textId="77777777" w:rsidR="00A354D8" w:rsidRPr="00044F3C" w:rsidRDefault="00A354D8" w:rsidP="00DF4D75">
      <w:pPr>
        <w:rPr>
          <w:lang w:val="en-US"/>
        </w:rPr>
      </w:pPr>
    </w:p>
    <w:p w14:paraId="0693FD1A" w14:textId="3EFCE224" w:rsidR="00DF4D75" w:rsidRPr="00044F3C" w:rsidRDefault="008C6B0C" w:rsidP="00DF4D75">
      <w:pPr>
        <w:rPr>
          <w:lang w:val="en-US"/>
        </w:rPr>
      </w:pPr>
      <w:r>
        <w:rPr>
          <w:lang w:val="en-US"/>
        </w:rPr>
        <w:t>The o</w:t>
      </w:r>
      <w:r w:rsidR="00DF4D75" w:rsidRPr="00044F3C">
        <w:rPr>
          <w:lang w:val="en-US"/>
        </w:rPr>
        <w:t>nline</w:t>
      </w:r>
      <w:r>
        <w:rPr>
          <w:lang w:val="en-US"/>
        </w:rPr>
        <w:t xml:space="preserve"> Annual Report </w:t>
      </w:r>
      <w:r w:rsidR="00DF4D75" w:rsidRPr="00613B51">
        <w:rPr>
          <w:lang w:val="en-US"/>
        </w:rPr>
        <w:t>201</w:t>
      </w:r>
      <w:r w:rsidRPr="00613B51">
        <w:rPr>
          <w:lang w:val="en-US"/>
        </w:rPr>
        <w:t>5</w:t>
      </w:r>
      <w:r w:rsidR="00DF4D75" w:rsidRPr="00044F3C">
        <w:rPr>
          <w:lang w:val="en-US"/>
        </w:rPr>
        <w:t xml:space="preserve"> </w:t>
      </w:r>
      <w:r>
        <w:rPr>
          <w:lang w:val="en-US"/>
        </w:rPr>
        <w:t>can be found at the following l</w:t>
      </w:r>
      <w:r w:rsidR="00DF4D75" w:rsidRPr="00044F3C">
        <w:rPr>
          <w:lang w:val="en-US"/>
        </w:rPr>
        <w:t>ink:</w:t>
      </w:r>
    </w:p>
    <w:p w14:paraId="76617302" w14:textId="77777777" w:rsidR="00DF4D75" w:rsidRPr="00044F3C" w:rsidRDefault="00626FE1" w:rsidP="00DF4D75">
      <w:pPr>
        <w:rPr>
          <w:lang w:val="en-US"/>
        </w:rPr>
      </w:pPr>
      <w:hyperlink r:id="rId11" w:history="1">
        <w:r w:rsidR="00DF4D75" w:rsidRPr="00044F3C">
          <w:rPr>
            <w:rStyle w:val="Hyperlink"/>
            <w:lang w:val="en-US"/>
          </w:rPr>
          <w:t>http://www.schulergroup.com/investor_relations/finanzberichte</w:t>
        </w:r>
      </w:hyperlink>
    </w:p>
    <w:p w14:paraId="13860625" w14:textId="77777777" w:rsidR="007E1606" w:rsidRPr="00044F3C" w:rsidRDefault="007E1606" w:rsidP="007E1606">
      <w:pPr>
        <w:rPr>
          <w:lang w:val="en-US"/>
        </w:rPr>
      </w:pPr>
    </w:p>
    <w:p w14:paraId="17A67B02" w14:textId="77777777" w:rsidR="006D0ACF" w:rsidRPr="00044F3C" w:rsidRDefault="006D0ACF">
      <w:pPr>
        <w:spacing w:line="240" w:lineRule="auto"/>
        <w:rPr>
          <w:rFonts w:cs="Arial"/>
          <w:b/>
          <w:szCs w:val="24"/>
          <w:lang w:val="en-US"/>
        </w:rPr>
      </w:pPr>
      <w:r w:rsidRPr="00044F3C">
        <w:rPr>
          <w:lang w:val="en-US"/>
        </w:rPr>
        <w:br w:type="page"/>
      </w:r>
    </w:p>
    <w:p w14:paraId="68C9ACBA" w14:textId="6AB9C90F" w:rsidR="00E41AB6" w:rsidRPr="00044F3C" w:rsidRDefault="008C6B0C" w:rsidP="006D0ACF">
      <w:pPr>
        <w:pStyle w:val="berschrift2"/>
        <w:rPr>
          <w:lang w:val="en-US"/>
        </w:rPr>
      </w:pPr>
      <w:r>
        <w:rPr>
          <w:lang w:val="en-US"/>
        </w:rPr>
        <w:lastRenderedPageBreak/>
        <w:t>Captions</w:t>
      </w:r>
    </w:p>
    <w:tbl>
      <w:tblPr>
        <w:tblStyle w:val="Tabellenraster"/>
        <w:tblW w:w="0" w:type="auto"/>
        <w:tblLook w:val="04A0" w:firstRow="1" w:lastRow="0" w:firstColumn="1" w:lastColumn="0" w:noHBand="0" w:noVBand="1"/>
      </w:tblPr>
      <w:tblGrid>
        <w:gridCol w:w="2660"/>
        <w:gridCol w:w="4142"/>
      </w:tblGrid>
      <w:tr w:rsidR="006D0ACF" w:rsidRPr="00626FE1" w14:paraId="5E03F0EC" w14:textId="77777777" w:rsidTr="006D0ACF">
        <w:tc>
          <w:tcPr>
            <w:tcW w:w="2660" w:type="dxa"/>
          </w:tcPr>
          <w:p w14:paraId="1BF453D5" w14:textId="77777777" w:rsidR="006D0ACF" w:rsidRPr="00044F3C" w:rsidRDefault="00C41C0F" w:rsidP="006D0ACF">
            <w:pPr>
              <w:rPr>
                <w:lang w:val="en-US"/>
              </w:rPr>
            </w:pPr>
            <w:r w:rsidRPr="00044F3C">
              <w:rPr>
                <w:noProof/>
              </w:rPr>
              <w:drawing>
                <wp:inline distT="0" distB="0" distL="0" distR="0" wp14:anchorId="5726349C" wp14:editId="6FBD1A8A">
                  <wp:extent cx="1333500" cy="1185682"/>
                  <wp:effectExtent l="0" t="0" r="0" b="0"/>
                  <wp:docPr id="7" name="Grafik 7" descr="M:\DATEN\GP\Media Relations\Vorgänge\2016_03_04_BPK\Bil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ATEN\GP\Media Relations\Vorgänge\2016_03_04_BPK\Bild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5980" cy="1187887"/>
                          </a:xfrm>
                          <a:prstGeom prst="rect">
                            <a:avLst/>
                          </a:prstGeom>
                          <a:noFill/>
                          <a:ln>
                            <a:noFill/>
                          </a:ln>
                        </pic:spPr>
                      </pic:pic>
                    </a:graphicData>
                  </a:graphic>
                </wp:inline>
              </w:drawing>
            </w:r>
          </w:p>
        </w:tc>
        <w:tc>
          <w:tcPr>
            <w:tcW w:w="4142" w:type="dxa"/>
          </w:tcPr>
          <w:p w14:paraId="0740DA50" w14:textId="6C0F299F" w:rsidR="006D0ACF" w:rsidRPr="00044F3C" w:rsidRDefault="006D0ACF" w:rsidP="008C6B0C">
            <w:pPr>
              <w:rPr>
                <w:lang w:val="en-US"/>
              </w:rPr>
            </w:pPr>
            <w:r w:rsidRPr="00044F3C">
              <w:rPr>
                <w:lang w:val="en-US"/>
              </w:rPr>
              <w:t xml:space="preserve">Bild1.jpg: </w:t>
            </w:r>
            <w:r w:rsidR="008C6B0C">
              <w:rPr>
                <w:lang w:val="en-US"/>
              </w:rPr>
              <w:t>The majority stake in C</w:t>
            </w:r>
            <w:r w:rsidR="008C6B0C" w:rsidRPr="00044F3C">
              <w:rPr>
                <w:lang w:val="en-US"/>
              </w:rPr>
              <w:t>hines</w:t>
            </w:r>
            <w:r w:rsidR="008C6B0C">
              <w:rPr>
                <w:lang w:val="en-US"/>
              </w:rPr>
              <w:t>e p</w:t>
            </w:r>
            <w:r w:rsidR="008C6B0C" w:rsidRPr="00044F3C">
              <w:rPr>
                <w:lang w:val="en-US"/>
              </w:rPr>
              <w:t>ress</w:t>
            </w:r>
            <w:r w:rsidR="008C6B0C">
              <w:rPr>
                <w:lang w:val="en-US"/>
              </w:rPr>
              <w:t xml:space="preserve"> manufacturer </w:t>
            </w:r>
            <w:r w:rsidR="008C6B0C" w:rsidRPr="00044F3C">
              <w:rPr>
                <w:lang w:val="en-US"/>
              </w:rPr>
              <w:t xml:space="preserve">Yadon </w:t>
            </w:r>
            <w:r w:rsidR="008C6B0C">
              <w:rPr>
                <w:lang w:val="en-US"/>
              </w:rPr>
              <w:t>opens the door for Schuler to the fast-growing, medium price-performance segment.</w:t>
            </w:r>
          </w:p>
        </w:tc>
      </w:tr>
      <w:tr w:rsidR="006D0ACF" w:rsidRPr="00626FE1" w14:paraId="5E369F3A" w14:textId="77777777" w:rsidTr="006D0ACF">
        <w:tc>
          <w:tcPr>
            <w:tcW w:w="2660" w:type="dxa"/>
          </w:tcPr>
          <w:p w14:paraId="583E80F9" w14:textId="77777777" w:rsidR="006D0ACF" w:rsidRPr="00044F3C" w:rsidRDefault="00C41C0F" w:rsidP="006D0ACF">
            <w:pPr>
              <w:rPr>
                <w:lang w:val="en-US"/>
              </w:rPr>
            </w:pPr>
            <w:r w:rsidRPr="00044F3C">
              <w:rPr>
                <w:noProof/>
              </w:rPr>
              <w:drawing>
                <wp:inline distT="0" distB="0" distL="0" distR="0" wp14:anchorId="44B0001E" wp14:editId="2F014C9A">
                  <wp:extent cx="1323398" cy="1247775"/>
                  <wp:effectExtent l="0" t="0" r="0" b="0"/>
                  <wp:docPr id="4" name="Grafik 4" descr="M:\DATEN\GP\Media Relations\Vorgänge\2016_03_04_BPK\2016_03_04_bp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Vorgänge\2016_03_04_BPK\2016_03_04_bpk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5610" r="16097" b="3650"/>
                          <a:stretch/>
                        </pic:blipFill>
                        <pic:spPr bwMode="auto">
                          <a:xfrm>
                            <a:off x="0" y="0"/>
                            <a:ext cx="1323727" cy="12480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42" w:type="dxa"/>
          </w:tcPr>
          <w:p w14:paraId="70E6B83B" w14:textId="47DFA55C" w:rsidR="006D0ACF" w:rsidRPr="00044F3C" w:rsidRDefault="006D0ACF" w:rsidP="008C6B0C">
            <w:pPr>
              <w:rPr>
                <w:lang w:val="en-US"/>
              </w:rPr>
            </w:pPr>
            <w:r w:rsidRPr="00044F3C">
              <w:rPr>
                <w:lang w:val="en-US"/>
              </w:rPr>
              <w:t>Bild2.jpg:</w:t>
            </w:r>
            <w:r w:rsidR="00196EAD" w:rsidRPr="00044F3C">
              <w:rPr>
                <w:lang w:val="en-US"/>
              </w:rPr>
              <w:t xml:space="preserve"> </w:t>
            </w:r>
            <w:r w:rsidR="008C6B0C">
              <w:rPr>
                <w:lang w:val="en-US"/>
              </w:rPr>
              <w:t xml:space="preserve">Germany will remain </w:t>
            </w:r>
            <w:r w:rsidR="008C6B0C" w:rsidRPr="00044F3C">
              <w:rPr>
                <w:lang w:val="en-US"/>
              </w:rPr>
              <w:t>Schuler</w:t>
            </w:r>
            <w:r w:rsidR="008C6B0C">
              <w:rPr>
                <w:lang w:val="en-US"/>
              </w:rPr>
              <w:t>’s c</w:t>
            </w:r>
            <w:r w:rsidR="008C6B0C" w:rsidRPr="00044F3C">
              <w:rPr>
                <w:lang w:val="en-US"/>
              </w:rPr>
              <w:t>entral</w:t>
            </w:r>
            <w:r w:rsidR="008C6B0C">
              <w:rPr>
                <w:lang w:val="en-US"/>
              </w:rPr>
              <w:t xml:space="preserve"> development a</w:t>
            </w:r>
            <w:r w:rsidR="008C6B0C" w:rsidRPr="00044F3C">
              <w:rPr>
                <w:lang w:val="en-US"/>
              </w:rPr>
              <w:t xml:space="preserve">nd </w:t>
            </w:r>
            <w:r w:rsidR="008C6B0C">
              <w:rPr>
                <w:lang w:val="en-US"/>
              </w:rPr>
              <w:t xml:space="preserve">manufacturing base </w:t>
            </w:r>
            <w:r w:rsidR="008C6B0C" w:rsidRPr="00044F3C">
              <w:rPr>
                <w:lang w:val="en-US"/>
              </w:rPr>
              <w:t>f</w:t>
            </w:r>
            <w:r w:rsidR="008C6B0C">
              <w:rPr>
                <w:lang w:val="en-US"/>
              </w:rPr>
              <w:t>o</w:t>
            </w:r>
            <w:r w:rsidR="008C6B0C" w:rsidRPr="00044F3C">
              <w:rPr>
                <w:lang w:val="en-US"/>
              </w:rPr>
              <w:t xml:space="preserve">r </w:t>
            </w:r>
            <w:r w:rsidR="008C6B0C">
              <w:rPr>
                <w:lang w:val="en-US"/>
              </w:rPr>
              <w:t>p</w:t>
            </w:r>
            <w:r w:rsidR="008C6B0C" w:rsidRPr="00044F3C">
              <w:rPr>
                <w:lang w:val="en-US"/>
              </w:rPr>
              <w:t>remium</w:t>
            </w:r>
            <w:r w:rsidR="008C6B0C">
              <w:rPr>
                <w:lang w:val="en-US"/>
              </w:rPr>
              <w:t xml:space="preserve"> technology,</w:t>
            </w:r>
            <w:r w:rsidR="008C6B0C" w:rsidRPr="00044F3C">
              <w:rPr>
                <w:lang w:val="en-US"/>
              </w:rPr>
              <w:t xml:space="preserve"> </w:t>
            </w:r>
            <w:r w:rsidR="008C6B0C">
              <w:rPr>
                <w:lang w:val="en-US"/>
              </w:rPr>
              <w:t>such as hot stamping lines</w:t>
            </w:r>
            <w:r w:rsidR="00196EAD" w:rsidRPr="00044F3C">
              <w:rPr>
                <w:lang w:val="en-US"/>
              </w:rPr>
              <w:t>.</w:t>
            </w:r>
          </w:p>
        </w:tc>
      </w:tr>
      <w:tr w:rsidR="006D0ACF" w:rsidRPr="00626FE1" w14:paraId="7B866586" w14:textId="77777777" w:rsidTr="006D0ACF">
        <w:tc>
          <w:tcPr>
            <w:tcW w:w="2660" w:type="dxa"/>
          </w:tcPr>
          <w:p w14:paraId="70874E35" w14:textId="77777777" w:rsidR="006D0ACF" w:rsidRPr="00044F3C" w:rsidRDefault="00C41C0F" w:rsidP="00C41C0F">
            <w:pPr>
              <w:rPr>
                <w:lang w:val="en-US"/>
              </w:rPr>
            </w:pPr>
            <w:r w:rsidRPr="00044F3C">
              <w:rPr>
                <w:noProof/>
              </w:rPr>
              <w:drawing>
                <wp:inline distT="0" distB="0" distL="0" distR="0" wp14:anchorId="5FE47148" wp14:editId="59DABFFB">
                  <wp:extent cx="1333500" cy="1333500"/>
                  <wp:effectExtent l="0" t="0" r="0" b="0"/>
                  <wp:docPr id="3" name="Grafik 3" descr="M:\DATEN\GP\Media Relations\Vorgänge\2016_03_04_BPK\2016_03_04_bp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6_03_04_BPK\2016_03_04_bpk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tc>
        <w:tc>
          <w:tcPr>
            <w:tcW w:w="4142" w:type="dxa"/>
          </w:tcPr>
          <w:p w14:paraId="11D034CD" w14:textId="1400D0A6" w:rsidR="006D0ACF" w:rsidRPr="00044F3C" w:rsidRDefault="006D0ACF" w:rsidP="008C6B0C">
            <w:pPr>
              <w:rPr>
                <w:lang w:val="en-US"/>
              </w:rPr>
            </w:pPr>
            <w:r w:rsidRPr="00044F3C">
              <w:rPr>
                <w:lang w:val="en-US"/>
              </w:rPr>
              <w:t xml:space="preserve">Bild3.jpg: </w:t>
            </w:r>
            <w:r w:rsidR="008C6B0C" w:rsidRPr="00044F3C">
              <w:rPr>
                <w:lang w:val="en-US"/>
              </w:rPr>
              <w:t xml:space="preserve">Schuler </w:t>
            </w:r>
            <w:r w:rsidR="008C6B0C">
              <w:rPr>
                <w:lang w:val="en-US"/>
              </w:rPr>
              <w:t xml:space="preserve">increased its capital expenditures by over </w:t>
            </w:r>
            <w:r w:rsidR="008C6B0C" w:rsidRPr="00044F3C">
              <w:rPr>
                <w:lang w:val="en-US"/>
              </w:rPr>
              <w:t xml:space="preserve">40 </w:t>
            </w:r>
            <w:r w:rsidR="008C6B0C">
              <w:rPr>
                <w:lang w:val="en-US"/>
              </w:rPr>
              <w:t>percent to € </w:t>
            </w:r>
            <w:r w:rsidR="00626FE1">
              <w:t xml:space="preserve">38,2 </w:t>
            </w:r>
            <w:bookmarkStart w:id="0" w:name="_GoBack"/>
            <w:bookmarkEnd w:id="0"/>
            <w:r w:rsidR="008C6B0C">
              <w:rPr>
                <w:lang w:val="en-US"/>
              </w:rPr>
              <w:t>(26.</w:t>
            </w:r>
            <w:r w:rsidR="008C6B0C" w:rsidRPr="00044F3C">
              <w:rPr>
                <w:lang w:val="en-US"/>
              </w:rPr>
              <w:t xml:space="preserve">5) </w:t>
            </w:r>
            <w:r w:rsidR="008C6B0C">
              <w:rPr>
                <w:lang w:val="en-US"/>
              </w:rPr>
              <w:t xml:space="preserve">million in </w:t>
            </w:r>
            <w:r w:rsidR="008C6B0C" w:rsidRPr="00044F3C">
              <w:rPr>
                <w:lang w:val="en-US"/>
              </w:rPr>
              <w:t>2015</w:t>
            </w:r>
            <w:r w:rsidR="008C6B0C">
              <w:rPr>
                <w:lang w:val="en-US"/>
              </w:rPr>
              <w:t xml:space="preserve"> </w:t>
            </w:r>
            <w:r w:rsidR="003F73D0" w:rsidRPr="00044F3C">
              <w:rPr>
                <w:lang w:val="en-US"/>
              </w:rPr>
              <w:t xml:space="preserve">– </w:t>
            </w:r>
            <w:r w:rsidR="008C6B0C">
              <w:rPr>
                <w:lang w:val="en-US"/>
              </w:rPr>
              <w:t xml:space="preserve">for example for the construction of its new head office </w:t>
            </w:r>
            <w:r w:rsidR="003F73D0" w:rsidRPr="00044F3C">
              <w:rPr>
                <w:lang w:val="en-US"/>
              </w:rPr>
              <w:t>in Göppingen.</w:t>
            </w:r>
          </w:p>
        </w:tc>
      </w:tr>
    </w:tbl>
    <w:p w14:paraId="6DF1C9B3" w14:textId="49C078ED" w:rsidR="006D0ACF" w:rsidRPr="00044F3C" w:rsidRDefault="008C6B0C" w:rsidP="006D0ACF">
      <w:pPr>
        <w:rPr>
          <w:i/>
          <w:lang w:val="en-US"/>
        </w:rPr>
      </w:pPr>
      <w:r w:rsidRPr="00106542">
        <w:rPr>
          <w:i/>
          <w:lang w:val="en-US"/>
        </w:rPr>
        <w:t>Please name Schuler as the photo source</w:t>
      </w:r>
      <w:r w:rsidR="006D0ACF" w:rsidRPr="00044F3C">
        <w:rPr>
          <w:i/>
          <w:lang w:val="en-US"/>
        </w:rPr>
        <w:t>.</w:t>
      </w:r>
    </w:p>
    <w:p w14:paraId="6FD3DA53" w14:textId="77777777" w:rsidR="006D0ACF" w:rsidRPr="00044F3C" w:rsidRDefault="006D0ACF" w:rsidP="006D0ACF">
      <w:pPr>
        <w:rPr>
          <w:lang w:val="en-US"/>
        </w:rPr>
      </w:pPr>
    </w:p>
    <w:p w14:paraId="2D6B9D90" w14:textId="77777777" w:rsidR="00DF4D75" w:rsidRPr="00044F3C" w:rsidRDefault="00DF4D75">
      <w:pPr>
        <w:spacing w:line="240" w:lineRule="auto"/>
        <w:rPr>
          <w:lang w:val="en-US"/>
        </w:rPr>
      </w:pPr>
    </w:p>
    <w:p w14:paraId="14885716" w14:textId="77777777" w:rsidR="005833D5" w:rsidRPr="00044F3C" w:rsidRDefault="005833D5" w:rsidP="008E1F8F">
      <w:pPr>
        <w:pBdr>
          <w:top w:val="single" w:sz="4" w:space="1" w:color="auto"/>
        </w:pBdr>
        <w:spacing w:line="240" w:lineRule="auto"/>
        <w:jc w:val="both"/>
        <w:rPr>
          <w:lang w:val="en-US"/>
        </w:rPr>
      </w:pPr>
    </w:p>
    <w:p w14:paraId="4D819C31" w14:textId="77777777" w:rsidR="005833D5" w:rsidRPr="00044F3C" w:rsidRDefault="005833D5" w:rsidP="008E1F8F">
      <w:pPr>
        <w:pBdr>
          <w:top w:val="single" w:sz="4" w:space="1" w:color="auto"/>
        </w:pBdr>
        <w:spacing w:line="240" w:lineRule="auto"/>
        <w:jc w:val="both"/>
        <w:rPr>
          <w:lang w:val="en-US"/>
        </w:rPr>
      </w:pPr>
    </w:p>
    <w:p w14:paraId="7F5289FB" w14:textId="77777777" w:rsidR="008C6B0C" w:rsidRPr="00106542" w:rsidRDefault="008C6B0C" w:rsidP="008C6B0C">
      <w:pPr>
        <w:spacing w:line="240" w:lineRule="auto"/>
        <w:ind w:right="-15"/>
        <w:jc w:val="both"/>
        <w:outlineLvl w:val="0"/>
        <w:rPr>
          <w:b/>
          <w:i/>
          <w:lang w:val="en-US"/>
        </w:rPr>
      </w:pPr>
      <w:r w:rsidRPr="00106542">
        <w:rPr>
          <w:b/>
          <w:i/>
          <w:lang w:val="en-US"/>
        </w:rPr>
        <w:t xml:space="preserve">About the Schuler Group – </w:t>
      </w:r>
      <w:hyperlink r:id="rId15" w:history="1">
        <w:r w:rsidRPr="00106542">
          <w:rPr>
            <w:rStyle w:val="Hyperlink"/>
            <w:b/>
            <w:i/>
            <w:lang w:val="en-US"/>
          </w:rPr>
          <w:t>www.schulergroup.com</w:t>
        </w:r>
      </w:hyperlink>
    </w:p>
    <w:p w14:paraId="5F7CF094" w14:textId="00A1758C" w:rsidR="005833D5" w:rsidRPr="00044F3C" w:rsidRDefault="008C6B0C" w:rsidP="008C6B0C">
      <w:pPr>
        <w:spacing w:line="240" w:lineRule="auto"/>
        <w:ind w:right="-15"/>
        <w:jc w:val="both"/>
        <w:outlineLvl w:val="0"/>
        <w:rPr>
          <w:i/>
          <w:lang w:val="en-US"/>
        </w:rPr>
      </w:pPr>
      <w:r w:rsidRPr="00106542">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w:t>
      </w:r>
      <w:r w:rsidR="00613B51">
        <w:rPr>
          <w:i/>
          <w:lang w:val="en-US"/>
        </w:rPr>
        <w:t>5</w:t>
      </w:r>
      <w:r w:rsidRPr="00106542">
        <w:rPr>
          <w:i/>
          <w:lang w:val="en-US"/>
        </w:rPr>
        <w:t xml:space="preserve"> (ending Dec.</w:t>
      </w:r>
      <w:r>
        <w:rPr>
          <w:i/>
          <w:lang w:val="en-US"/>
        </w:rPr>
        <w:t xml:space="preserve"> </w:t>
      </w:r>
      <w:r w:rsidRPr="00106542">
        <w:rPr>
          <w:i/>
          <w:lang w:val="en-US"/>
        </w:rPr>
        <w:t>31), Schuler posted sales of € 1.</w:t>
      </w:r>
      <w:r w:rsidR="00613B51">
        <w:rPr>
          <w:i/>
          <w:lang w:val="en-US"/>
        </w:rPr>
        <w:t>20</w:t>
      </w:r>
      <w:r w:rsidRPr="00106542">
        <w:rPr>
          <w:i/>
          <w:lang w:val="en-US"/>
        </w:rPr>
        <w:t xml:space="preserve"> billion. With around 5,</w:t>
      </w:r>
      <w:r w:rsidR="00613B51">
        <w:rPr>
          <w:i/>
          <w:lang w:val="en-US"/>
        </w:rPr>
        <w:t>2</w:t>
      </w:r>
      <w:r w:rsidRPr="00106542">
        <w:rPr>
          <w:i/>
          <w:lang w:val="en-US"/>
        </w:rPr>
        <w:t>00 employees, Schuler is represented in 40 countries and is a member of the Austrian ANDRITZ Group.</w:t>
      </w:r>
    </w:p>
    <w:sectPr w:rsidR="005833D5" w:rsidRPr="00044F3C"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EAE846" w14:textId="77777777" w:rsidR="006C42B5" w:rsidRDefault="006C42B5" w:rsidP="007E132D">
      <w:r>
        <w:separator/>
      </w:r>
    </w:p>
    <w:p w14:paraId="4DDD79A7" w14:textId="77777777" w:rsidR="006C42B5" w:rsidRDefault="006C42B5" w:rsidP="007E132D"/>
  </w:endnote>
  <w:endnote w:type="continuationSeparator" w:id="0">
    <w:p w14:paraId="06D3E5F1" w14:textId="77777777" w:rsidR="006C42B5" w:rsidRDefault="006C42B5" w:rsidP="007E132D">
      <w:r>
        <w:continuationSeparator/>
      </w:r>
    </w:p>
    <w:p w14:paraId="0A28FA2A" w14:textId="77777777" w:rsidR="006C42B5" w:rsidRDefault="006C42B5" w:rsidP="007E132D"/>
  </w:endnote>
  <w:endnote w:type="continuationNotice" w:id="1">
    <w:p w14:paraId="01DDE0DB" w14:textId="77777777" w:rsidR="006C42B5" w:rsidRDefault="006C42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6E70907C" w14:textId="77777777" w:rsidTr="007E1606">
      <w:trPr>
        <w:trHeight w:hRule="exact" w:val="227"/>
      </w:trPr>
      <w:tc>
        <w:tcPr>
          <w:tcW w:w="2409" w:type="dxa"/>
          <w:shd w:val="clear" w:color="auto" w:fill="auto"/>
        </w:tcPr>
        <w:p w14:paraId="250C9303"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26FE1">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26FE1">
            <w:rPr>
              <w:rFonts w:eastAsia="Calibri"/>
              <w:noProof/>
            </w:rPr>
            <w:instrText>5</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26FE1">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26FE1" w:rsidRPr="007E1606">
            <w:rPr>
              <w:rFonts w:eastAsia="Calibri"/>
              <w:noProof/>
            </w:rPr>
            <w:t xml:space="preserve">Seite </w:t>
          </w:r>
          <w:r w:rsidR="00626FE1">
            <w:rPr>
              <w:rFonts w:eastAsia="Calibri"/>
              <w:noProof/>
            </w:rPr>
            <w:t>5</w:t>
          </w:r>
          <w:r w:rsidR="00626FE1" w:rsidRPr="007E1606">
            <w:rPr>
              <w:rFonts w:eastAsia="Calibri"/>
              <w:noProof/>
            </w:rPr>
            <w:t xml:space="preserve"> von </w:t>
          </w:r>
          <w:r w:rsidR="00626FE1">
            <w:rPr>
              <w:rFonts w:eastAsia="Calibri"/>
              <w:noProof/>
            </w:rPr>
            <w:t>5</w:t>
          </w:r>
          <w:r w:rsidRPr="007E1606">
            <w:rPr>
              <w:rFonts w:eastAsia="Calibri"/>
            </w:rPr>
            <w:fldChar w:fldCharType="end"/>
          </w:r>
        </w:p>
      </w:tc>
    </w:tr>
  </w:tbl>
  <w:p w14:paraId="6F63E04D" w14:textId="77777777" w:rsidR="00E3363B" w:rsidRPr="00D16703" w:rsidRDefault="00E3363B" w:rsidP="007E132D">
    <w:pPr>
      <w:pStyle w:val="Fuzeile"/>
      <w:rPr>
        <w:lang w:val="it-IT"/>
      </w:rPr>
    </w:pPr>
  </w:p>
  <w:p w14:paraId="65A0E288" w14:textId="77777777" w:rsidR="00E90330" w:rsidRDefault="00E90330" w:rsidP="007E132D"/>
  <w:p w14:paraId="681F5F49"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3D1F4"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3DE72" w14:textId="77777777" w:rsidR="006C42B5" w:rsidRDefault="006C42B5" w:rsidP="007E132D">
      <w:r>
        <w:separator/>
      </w:r>
    </w:p>
    <w:p w14:paraId="0779823A" w14:textId="77777777" w:rsidR="006C42B5" w:rsidRDefault="006C42B5" w:rsidP="007E132D"/>
  </w:footnote>
  <w:footnote w:type="continuationSeparator" w:id="0">
    <w:p w14:paraId="2E1DA9AF" w14:textId="77777777" w:rsidR="006C42B5" w:rsidRDefault="006C42B5" w:rsidP="007E132D">
      <w:r>
        <w:continuationSeparator/>
      </w:r>
    </w:p>
    <w:p w14:paraId="43035A5E" w14:textId="77777777" w:rsidR="006C42B5" w:rsidRDefault="006C42B5" w:rsidP="007E132D"/>
  </w:footnote>
  <w:footnote w:type="continuationNotice" w:id="1">
    <w:p w14:paraId="303E7BF2" w14:textId="77777777" w:rsidR="006C42B5" w:rsidRDefault="006C42B5">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771AC"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5C9F2F8" wp14:editId="0F7AFB6C">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C0C2437" wp14:editId="78D644D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A6BB0" w14:textId="77777777" w:rsidR="00E3363B" w:rsidRDefault="001E0C3C" w:rsidP="007E132D">
    <w:r>
      <w:rPr>
        <w:noProof/>
      </w:rPr>
      <w:drawing>
        <wp:anchor distT="0" distB="0" distL="114300" distR="114300" simplePos="0" relativeHeight="251656192" behindDoc="1" locked="0" layoutInCell="1" allowOverlap="1" wp14:anchorId="4F1BFDD7" wp14:editId="7FE6062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A421900" w14:textId="77777777" w:rsidR="00E3363B" w:rsidRDefault="00E3363B" w:rsidP="007E132D"/>
  <w:p w14:paraId="64C5FB93"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6881430" wp14:editId="1D7B4A7C">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5129CB" w14:textId="77777777" w:rsidR="00E3363B" w:rsidRDefault="00E3363B" w:rsidP="007E132D"/>
  <w:p w14:paraId="36BD2019"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1D8A68D4"/>
    <w:multiLevelType w:val="hybridMultilevel"/>
    <w:tmpl w:val="84287694"/>
    <w:lvl w:ilvl="0" w:tplc="C4B4B0E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E794E09"/>
    <w:multiLevelType w:val="hybridMultilevel"/>
    <w:tmpl w:val="B7082D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6B6B24A9"/>
    <w:multiLevelType w:val="hybridMultilevel"/>
    <w:tmpl w:val="69BCED74"/>
    <w:lvl w:ilvl="0" w:tplc="8F0E8BF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E2F37E3"/>
    <w:multiLevelType w:val="hybridMultilevel"/>
    <w:tmpl w:val="8474D11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6"/>
  </w:num>
  <w:num w:numId="6">
    <w:abstractNumId w:val="11"/>
  </w:num>
  <w:num w:numId="7">
    <w:abstractNumId w:val="8"/>
  </w:num>
  <w:num w:numId="8">
    <w:abstractNumId w:val="0"/>
  </w:num>
  <w:num w:numId="9">
    <w:abstractNumId w:val="9"/>
  </w:num>
  <w:num w:numId="10">
    <w:abstractNumId w:val="10"/>
  </w:num>
  <w:num w:numId="11">
    <w:abstractNumId w:val="14"/>
  </w:num>
  <w:num w:numId="12">
    <w:abstractNumId w:val="13"/>
  </w:num>
  <w:num w:numId="13">
    <w:abstractNumId w:val="3"/>
  </w:num>
  <w:num w:numId="14">
    <w:abstractNumId w:val="1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6E"/>
    <w:rsid w:val="00003CBE"/>
    <w:rsid w:val="00004C7F"/>
    <w:rsid w:val="00020745"/>
    <w:rsid w:val="00026F9E"/>
    <w:rsid w:val="00031750"/>
    <w:rsid w:val="00033BD2"/>
    <w:rsid w:val="00044918"/>
    <w:rsid w:val="00044F3C"/>
    <w:rsid w:val="00045F35"/>
    <w:rsid w:val="00061C4B"/>
    <w:rsid w:val="000716BA"/>
    <w:rsid w:val="000731DE"/>
    <w:rsid w:val="000809FF"/>
    <w:rsid w:val="00086F40"/>
    <w:rsid w:val="0009124B"/>
    <w:rsid w:val="000A52A8"/>
    <w:rsid w:val="000B704A"/>
    <w:rsid w:val="000C0CAD"/>
    <w:rsid w:val="000D496E"/>
    <w:rsid w:val="000E228F"/>
    <w:rsid w:val="000F2F77"/>
    <w:rsid w:val="00101848"/>
    <w:rsid w:val="00102187"/>
    <w:rsid w:val="00123E82"/>
    <w:rsid w:val="00130A5F"/>
    <w:rsid w:val="001343EF"/>
    <w:rsid w:val="00136218"/>
    <w:rsid w:val="00136E90"/>
    <w:rsid w:val="0013722E"/>
    <w:rsid w:val="00137A7A"/>
    <w:rsid w:val="00141274"/>
    <w:rsid w:val="00152C69"/>
    <w:rsid w:val="001630AC"/>
    <w:rsid w:val="001631E1"/>
    <w:rsid w:val="0016339C"/>
    <w:rsid w:val="0016495A"/>
    <w:rsid w:val="00173722"/>
    <w:rsid w:val="0017697C"/>
    <w:rsid w:val="0017745F"/>
    <w:rsid w:val="00196EAD"/>
    <w:rsid w:val="001B1B07"/>
    <w:rsid w:val="001C1FA2"/>
    <w:rsid w:val="001C3EE2"/>
    <w:rsid w:val="001E0C3C"/>
    <w:rsid w:val="001F02CA"/>
    <w:rsid w:val="001F6280"/>
    <w:rsid w:val="002077B7"/>
    <w:rsid w:val="00212513"/>
    <w:rsid w:val="00215C8A"/>
    <w:rsid w:val="002168F2"/>
    <w:rsid w:val="002315E0"/>
    <w:rsid w:val="002350D8"/>
    <w:rsid w:val="002712C2"/>
    <w:rsid w:val="00271690"/>
    <w:rsid w:val="002850AC"/>
    <w:rsid w:val="002A1D04"/>
    <w:rsid w:val="002A3A54"/>
    <w:rsid w:val="002A42B6"/>
    <w:rsid w:val="002A4B0E"/>
    <w:rsid w:val="002B391B"/>
    <w:rsid w:val="002B41E8"/>
    <w:rsid w:val="002D1BC7"/>
    <w:rsid w:val="002F5BC5"/>
    <w:rsid w:val="0031052B"/>
    <w:rsid w:val="003230D4"/>
    <w:rsid w:val="00323555"/>
    <w:rsid w:val="003428AB"/>
    <w:rsid w:val="00363740"/>
    <w:rsid w:val="00364957"/>
    <w:rsid w:val="00365A9E"/>
    <w:rsid w:val="0036646D"/>
    <w:rsid w:val="003728F6"/>
    <w:rsid w:val="00373C01"/>
    <w:rsid w:val="00377DED"/>
    <w:rsid w:val="003B7775"/>
    <w:rsid w:val="003C3641"/>
    <w:rsid w:val="003C626A"/>
    <w:rsid w:val="003D76C7"/>
    <w:rsid w:val="003E30C0"/>
    <w:rsid w:val="003F0681"/>
    <w:rsid w:val="003F17F1"/>
    <w:rsid w:val="003F6888"/>
    <w:rsid w:val="003F73D0"/>
    <w:rsid w:val="004026E0"/>
    <w:rsid w:val="00403EFF"/>
    <w:rsid w:val="004107D4"/>
    <w:rsid w:val="00431EBF"/>
    <w:rsid w:val="004355F7"/>
    <w:rsid w:val="0043797F"/>
    <w:rsid w:val="00443C29"/>
    <w:rsid w:val="004525D4"/>
    <w:rsid w:val="0047180C"/>
    <w:rsid w:val="00476782"/>
    <w:rsid w:val="00476D9C"/>
    <w:rsid w:val="00485C6B"/>
    <w:rsid w:val="004B64DD"/>
    <w:rsid w:val="004C4B30"/>
    <w:rsid w:val="004C697D"/>
    <w:rsid w:val="004D48E7"/>
    <w:rsid w:val="004D76DD"/>
    <w:rsid w:val="00506A34"/>
    <w:rsid w:val="00507599"/>
    <w:rsid w:val="00530098"/>
    <w:rsid w:val="00533491"/>
    <w:rsid w:val="00552A9D"/>
    <w:rsid w:val="005547DF"/>
    <w:rsid w:val="00556DD6"/>
    <w:rsid w:val="005574CD"/>
    <w:rsid w:val="0056768B"/>
    <w:rsid w:val="005700A9"/>
    <w:rsid w:val="00575FA0"/>
    <w:rsid w:val="005833D5"/>
    <w:rsid w:val="00595D96"/>
    <w:rsid w:val="005C0BBB"/>
    <w:rsid w:val="005C6AE3"/>
    <w:rsid w:val="005D20C1"/>
    <w:rsid w:val="005F4B9F"/>
    <w:rsid w:val="005F60DB"/>
    <w:rsid w:val="005F6D99"/>
    <w:rsid w:val="00601238"/>
    <w:rsid w:val="0060142A"/>
    <w:rsid w:val="00613B51"/>
    <w:rsid w:val="00626FE1"/>
    <w:rsid w:val="006307BB"/>
    <w:rsid w:val="00646707"/>
    <w:rsid w:val="0065451D"/>
    <w:rsid w:val="00654B60"/>
    <w:rsid w:val="00660D47"/>
    <w:rsid w:val="00671E3C"/>
    <w:rsid w:val="00673BF3"/>
    <w:rsid w:val="00674EF3"/>
    <w:rsid w:val="00677EBB"/>
    <w:rsid w:val="006813B8"/>
    <w:rsid w:val="0068251B"/>
    <w:rsid w:val="006848FF"/>
    <w:rsid w:val="00687868"/>
    <w:rsid w:val="006906BA"/>
    <w:rsid w:val="00692415"/>
    <w:rsid w:val="006A31D9"/>
    <w:rsid w:val="006A659E"/>
    <w:rsid w:val="006A7F52"/>
    <w:rsid w:val="006C42B5"/>
    <w:rsid w:val="006C730C"/>
    <w:rsid w:val="006D0ACF"/>
    <w:rsid w:val="006D7242"/>
    <w:rsid w:val="006E3C9B"/>
    <w:rsid w:val="006E632D"/>
    <w:rsid w:val="006F407F"/>
    <w:rsid w:val="00714E5C"/>
    <w:rsid w:val="0072042B"/>
    <w:rsid w:val="00733AAF"/>
    <w:rsid w:val="00736F21"/>
    <w:rsid w:val="007826E4"/>
    <w:rsid w:val="00784E5A"/>
    <w:rsid w:val="007928F0"/>
    <w:rsid w:val="00794AEE"/>
    <w:rsid w:val="007B01F1"/>
    <w:rsid w:val="007B0BF4"/>
    <w:rsid w:val="007B7792"/>
    <w:rsid w:val="007C16F5"/>
    <w:rsid w:val="007D10BF"/>
    <w:rsid w:val="007D508E"/>
    <w:rsid w:val="007D76D1"/>
    <w:rsid w:val="007E132D"/>
    <w:rsid w:val="007E1606"/>
    <w:rsid w:val="007F4512"/>
    <w:rsid w:val="00800FC9"/>
    <w:rsid w:val="0082176E"/>
    <w:rsid w:val="00821B54"/>
    <w:rsid w:val="00821E5D"/>
    <w:rsid w:val="00822597"/>
    <w:rsid w:val="008258E8"/>
    <w:rsid w:val="00825A16"/>
    <w:rsid w:val="00830575"/>
    <w:rsid w:val="008334D5"/>
    <w:rsid w:val="00840BFE"/>
    <w:rsid w:val="00865B83"/>
    <w:rsid w:val="00870B93"/>
    <w:rsid w:val="008718D2"/>
    <w:rsid w:val="0087295F"/>
    <w:rsid w:val="008746C7"/>
    <w:rsid w:val="00876D34"/>
    <w:rsid w:val="00876E6E"/>
    <w:rsid w:val="00877DC8"/>
    <w:rsid w:val="00885551"/>
    <w:rsid w:val="00894865"/>
    <w:rsid w:val="00896BEF"/>
    <w:rsid w:val="008C6578"/>
    <w:rsid w:val="008C6B0C"/>
    <w:rsid w:val="008D1374"/>
    <w:rsid w:val="008D67FA"/>
    <w:rsid w:val="008D6D32"/>
    <w:rsid w:val="008E1F8F"/>
    <w:rsid w:val="008F5E25"/>
    <w:rsid w:val="009060ED"/>
    <w:rsid w:val="00920948"/>
    <w:rsid w:val="00926076"/>
    <w:rsid w:val="00941203"/>
    <w:rsid w:val="00960075"/>
    <w:rsid w:val="00961469"/>
    <w:rsid w:val="00975A13"/>
    <w:rsid w:val="00983A2F"/>
    <w:rsid w:val="009A680E"/>
    <w:rsid w:val="009B2577"/>
    <w:rsid w:val="009B3EB7"/>
    <w:rsid w:val="009B52FC"/>
    <w:rsid w:val="009E26A3"/>
    <w:rsid w:val="009E2F4C"/>
    <w:rsid w:val="009F65F3"/>
    <w:rsid w:val="00A0214C"/>
    <w:rsid w:val="00A15FD6"/>
    <w:rsid w:val="00A166C4"/>
    <w:rsid w:val="00A31D72"/>
    <w:rsid w:val="00A32B85"/>
    <w:rsid w:val="00A354D8"/>
    <w:rsid w:val="00A35BFC"/>
    <w:rsid w:val="00A46561"/>
    <w:rsid w:val="00A500A4"/>
    <w:rsid w:val="00A804A0"/>
    <w:rsid w:val="00A86ACD"/>
    <w:rsid w:val="00A9156A"/>
    <w:rsid w:val="00A91986"/>
    <w:rsid w:val="00A93519"/>
    <w:rsid w:val="00A94C21"/>
    <w:rsid w:val="00AC55D1"/>
    <w:rsid w:val="00AC6510"/>
    <w:rsid w:val="00AE3AFF"/>
    <w:rsid w:val="00AF2A76"/>
    <w:rsid w:val="00AF2D43"/>
    <w:rsid w:val="00AF64B9"/>
    <w:rsid w:val="00AF64C6"/>
    <w:rsid w:val="00B01B58"/>
    <w:rsid w:val="00B06BC4"/>
    <w:rsid w:val="00B206B1"/>
    <w:rsid w:val="00B23715"/>
    <w:rsid w:val="00B307A6"/>
    <w:rsid w:val="00B44425"/>
    <w:rsid w:val="00B473D6"/>
    <w:rsid w:val="00B47659"/>
    <w:rsid w:val="00B55136"/>
    <w:rsid w:val="00B762C9"/>
    <w:rsid w:val="00BA09F2"/>
    <w:rsid w:val="00BA18A0"/>
    <w:rsid w:val="00BA499E"/>
    <w:rsid w:val="00BE7917"/>
    <w:rsid w:val="00C052F5"/>
    <w:rsid w:val="00C41C0F"/>
    <w:rsid w:val="00C47DAA"/>
    <w:rsid w:val="00C72CD3"/>
    <w:rsid w:val="00C76E68"/>
    <w:rsid w:val="00C827F0"/>
    <w:rsid w:val="00C82B48"/>
    <w:rsid w:val="00C82B81"/>
    <w:rsid w:val="00C85C10"/>
    <w:rsid w:val="00C860F0"/>
    <w:rsid w:val="00C96DAD"/>
    <w:rsid w:val="00CB2B5C"/>
    <w:rsid w:val="00CC7CCA"/>
    <w:rsid w:val="00CD3AA7"/>
    <w:rsid w:val="00CD5930"/>
    <w:rsid w:val="00D14566"/>
    <w:rsid w:val="00D15E35"/>
    <w:rsid w:val="00D16703"/>
    <w:rsid w:val="00D20AFE"/>
    <w:rsid w:val="00D36969"/>
    <w:rsid w:val="00D4577B"/>
    <w:rsid w:val="00D55C5C"/>
    <w:rsid w:val="00D5679F"/>
    <w:rsid w:val="00D70424"/>
    <w:rsid w:val="00D73325"/>
    <w:rsid w:val="00D76894"/>
    <w:rsid w:val="00D82AE7"/>
    <w:rsid w:val="00DB3F3F"/>
    <w:rsid w:val="00DB73FC"/>
    <w:rsid w:val="00DC5C7D"/>
    <w:rsid w:val="00DC5DAA"/>
    <w:rsid w:val="00DC7EF7"/>
    <w:rsid w:val="00DD16C5"/>
    <w:rsid w:val="00DE35EB"/>
    <w:rsid w:val="00DE6930"/>
    <w:rsid w:val="00DF4D75"/>
    <w:rsid w:val="00E10200"/>
    <w:rsid w:val="00E10CA8"/>
    <w:rsid w:val="00E125EC"/>
    <w:rsid w:val="00E207BB"/>
    <w:rsid w:val="00E2304D"/>
    <w:rsid w:val="00E23EF1"/>
    <w:rsid w:val="00E26828"/>
    <w:rsid w:val="00E3363B"/>
    <w:rsid w:val="00E36721"/>
    <w:rsid w:val="00E41AB6"/>
    <w:rsid w:val="00E50F8F"/>
    <w:rsid w:val="00E5769E"/>
    <w:rsid w:val="00E6320B"/>
    <w:rsid w:val="00E753DF"/>
    <w:rsid w:val="00E85596"/>
    <w:rsid w:val="00E85A97"/>
    <w:rsid w:val="00E90330"/>
    <w:rsid w:val="00E94A8B"/>
    <w:rsid w:val="00E94CAA"/>
    <w:rsid w:val="00EA0877"/>
    <w:rsid w:val="00EA7DC3"/>
    <w:rsid w:val="00EB1C2E"/>
    <w:rsid w:val="00EC0313"/>
    <w:rsid w:val="00EC73C7"/>
    <w:rsid w:val="00ED091A"/>
    <w:rsid w:val="00ED444E"/>
    <w:rsid w:val="00F002F6"/>
    <w:rsid w:val="00F23257"/>
    <w:rsid w:val="00F23AAD"/>
    <w:rsid w:val="00F44765"/>
    <w:rsid w:val="00F505F8"/>
    <w:rsid w:val="00F5073A"/>
    <w:rsid w:val="00F53696"/>
    <w:rsid w:val="00F5709F"/>
    <w:rsid w:val="00F654EB"/>
    <w:rsid w:val="00F733D5"/>
    <w:rsid w:val="00F7676C"/>
    <w:rsid w:val="00FA3849"/>
    <w:rsid w:val="00FC0D07"/>
    <w:rsid w:val="00FC33E5"/>
    <w:rsid w:val="00FC7FFD"/>
    <w:rsid w:val="00FD1AC7"/>
    <w:rsid w:val="00FE2FB7"/>
    <w:rsid w:val="00FF27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7C8B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702">
      <w:bodyDiv w:val="1"/>
      <w:marLeft w:val="0"/>
      <w:marRight w:val="0"/>
      <w:marTop w:val="0"/>
      <w:marBottom w:val="0"/>
      <w:divBdr>
        <w:top w:val="none" w:sz="0" w:space="0" w:color="auto"/>
        <w:left w:val="none" w:sz="0" w:space="0" w:color="auto"/>
        <w:bottom w:val="none" w:sz="0" w:space="0" w:color="auto"/>
        <w:right w:val="none" w:sz="0" w:space="0" w:color="auto"/>
      </w:divBdr>
    </w:div>
    <w:div w:id="158739086">
      <w:bodyDiv w:val="1"/>
      <w:marLeft w:val="0"/>
      <w:marRight w:val="0"/>
      <w:marTop w:val="0"/>
      <w:marBottom w:val="0"/>
      <w:divBdr>
        <w:top w:val="none" w:sz="0" w:space="0" w:color="auto"/>
        <w:left w:val="none" w:sz="0" w:space="0" w:color="auto"/>
        <w:bottom w:val="none" w:sz="0" w:space="0" w:color="auto"/>
        <w:right w:val="none" w:sz="0" w:space="0" w:color="auto"/>
      </w:divBdr>
    </w:div>
    <w:div w:id="300431301">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17282283">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60842873">
      <w:bodyDiv w:val="1"/>
      <w:marLeft w:val="0"/>
      <w:marRight w:val="0"/>
      <w:marTop w:val="0"/>
      <w:marBottom w:val="0"/>
      <w:divBdr>
        <w:top w:val="none" w:sz="0" w:space="0" w:color="auto"/>
        <w:left w:val="none" w:sz="0" w:space="0" w:color="auto"/>
        <w:bottom w:val="none" w:sz="0" w:space="0" w:color="auto"/>
        <w:right w:val="none" w:sz="0" w:space="0" w:color="auto"/>
      </w:divBdr>
    </w:div>
    <w:div w:id="1049306580">
      <w:bodyDiv w:val="1"/>
      <w:marLeft w:val="0"/>
      <w:marRight w:val="0"/>
      <w:marTop w:val="0"/>
      <w:marBottom w:val="0"/>
      <w:divBdr>
        <w:top w:val="none" w:sz="0" w:space="0" w:color="auto"/>
        <w:left w:val="none" w:sz="0" w:space="0" w:color="auto"/>
        <w:bottom w:val="none" w:sz="0" w:space="0" w:color="auto"/>
        <w:right w:val="none" w:sz="0" w:space="0" w:color="auto"/>
      </w:divBdr>
    </w:div>
    <w:div w:id="1117529163">
      <w:bodyDiv w:val="1"/>
      <w:marLeft w:val="0"/>
      <w:marRight w:val="0"/>
      <w:marTop w:val="0"/>
      <w:marBottom w:val="0"/>
      <w:divBdr>
        <w:top w:val="none" w:sz="0" w:space="0" w:color="auto"/>
        <w:left w:val="none" w:sz="0" w:space="0" w:color="auto"/>
        <w:bottom w:val="none" w:sz="0" w:space="0" w:color="auto"/>
        <w:right w:val="none" w:sz="0" w:space="0" w:color="auto"/>
      </w:divBdr>
      <w:divsChild>
        <w:div w:id="926618100">
          <w:marLeft w:val="0"/>
          <w:marRight w:val="0"/>
          <w:marTop w:val="0"/>
          <w:marBottom w:val="0"/>
          <w:divBdr>
            <w:top w:val="none" w:sz="0" w:space="0" w:color="auto"/>
            <w:left w:val="none" w:sz="0" w:space="0" w:color="auto"/>
            <w:bottom w:val="none" w:sz="0" w:space="0" w:color="auto"/>
            <w:right w:val="none" w:sz="0" w:space="0" w:color="auto"/>
          </w:divBdr>
          <w:divsChild>
            <w:div w:id="1098215750">
              <w:marLeft w:val="0"/>
              <w:marRight w:val="0"/>
              <w:marTop w:val="0"/>
              <w:marBottom w:val="0"/>
              <w:divBdr>
                <w:top w:val="none" w:sz="0" w:space="0" w:color="auto"/>
                <w:left w:val="none" w:sz="0" w:space="0" w:color="auto"/>
                <w:bottom w:val="none" w:sz="0" w:space="0" w:color="auto"/>
                <w:right w:val="none" w:sz="0" w:space="0" w:color="auto"/>
              </w:divBdr>
              <w:divsChild>
                <w:div w:id="1408722332">
                  <w:marLeft w:val="0"/>
                  <w:marRight w:val="0"/>
                  <w:marTop w:val="375"/>
                  <w:marBottom w:val="0"/>
                  <w:divBdr>
                    <w:top w:val="single" w:sz="6" w:space="0" w:color="CCCCCC"/>
                    <w:left w:val="single" w:sz="6" w:space="0" w:color="CCCCCC"/>
                    <w:bottom w:val="single" w:sz="6" w:space="0" w:color="CCCCCC"/>
                    <w:right w:val="single" w:sz="6" w:space="0" w:color="CCCCCC"/>
                  </w:divBdr>
                  <w:divsChild>
                    <w:div w:id="152543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49341680">
      <w:bodyDiv w:val="1"/>
      <w:marLeft w:val="0"/>
      <w:marRight w:val="0"/>
      <w:marTop w:val="0"/>
      <w:marBottom w:val="0"/>
      <w:divBdr>
        <w:top w:val="none" w:sz="0" w:space="0" w:color="auto"/>
        <w:left w:val="none" w:sz="0" w:space="0" w:color="auto"/>
        <w:bottom w:val="none" w:sz="0" w:space="0" w:color="auto"/>
        <w:right w:val="none" w:sz="0" w:space="0" w:color="auto"/>
      </w:divBdr>
    </w:div>
    <w:div w:id="125948753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205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investor_relations/finanzberichte" TargetMode="External"/><Relationship Id="rId5" Type="http://schemas.openxmlformats.org/officeDocument/2006/relationships/settings" Target="settings.xml"/><Relationship Id="rId15" Type="http://schemas.openxmlformats.org/officeDocument/2006/relationships/hyperlink" Target="http://www.schulergroup.com" TargetMode="External"/><Relationship Id="rId10" Type="http://schemas.openxmlformats.org/officeDocument/2006/relationships/hyperlink" Target="http://www.schulergroup.com/p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Hans.Obermeier@schulergroup.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0E100-3508-44C6-9B74-E8C169AB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1122</Words>
  <Characters>6257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7365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5</cp:revision>
  <cp:lastPrinted>2016-03-01T14:26:00Z</cp:lastPrinted>
  <dcterms:created xsi:type="dcterms:W3CDTF">2016-03-03T13:23:00Z</dcterms:created>
  <dcterms:modified xsi:type="dcterms:W3CDTF">2016-03-03T15:26:00Z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-1587044102</vt:i4>
  </property>
  <property fmtid="{D5CDD505-2E9C-101B-9397-08002B2CF9AE}" pid="4" name="_EmailSubject">
    <vt:lpwstr>2016_03_04_Pressemeldung_Bilanzpressekonferenz.docx</vt:lpwstr>
  </property>
  <property fmtid="{D5CDD505-2E9C-101B-9397-08002B2CF9AE}" pid="5" name="_AuthorEmail">
    <vt:lpwstr>Simon.Scherrenbacher@schulergroup.com</vt:lpwstr>
  </property>
  <property fmtid="{D5CDD505-2E9C-101B-9397-08002B2CF9AE}" pid="6" name="_AuthorEmailDisplayName">
    <vt:lpwstr>Scherrenbacher, Simon &lt;Simon.Scherrenbacher@schulergroup.com&gt;</vt:lpwstr>
  </property>
  <property fmtid="{D5CDD505-2E9C-101B-9397-08002B2CF9AE}" pid="7" name="_PreviousAdHocReviewCycleID">
    <vt:i4>1224848771</vt:i4>
  </property>
</Properties>
</file>