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AF2A76" w:rsidRPr="004C4B30" w:rsidTr="00432CC7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AF2A76" w:rsidRPr="004C4B30" w:rsidRDefault="00AF2A76" w:rsidP="00AF2A76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AF2A76" w:rsidRPr="008E1F8F" w:rsidRDefault="00AF2A76" w:rsidP="00AF2A76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Hans Obermeier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Pressesprecher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 xml:space="preserve">Telefon +49 </w:t>
            </w:r>
            <w:r w:rsidRPr="00AF2A76">
              <w:rPr>
                <w:rFonts w:eastAsia="Calibri"/>
                <w:sz w:val="17"/>
                <w:szCs w:val="17"/>
                <w:lang w:eastAsia="en-US"/>
              </w:rPr>
              <w:t>151 1204 4531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AF2A76" w:rsidRPr="004C4B30" w:rsidRDefault="009B7172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7D76D1" w:rsidRPr="00A7105A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Hans.Obermeier@</w:t>
              </w:r>
              <w:r w:rsidR="007D76D1" w:rsidRPr="00A7105A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AF2A76" w:rsidRPr="004C4B30" w:rsidRDefault="009B7172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AF2A76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</w:tc>
      </w:tr>
    </w:tbl>
    <w:p w:rsidR="007E1606" w:rsidRDefault="007E1606" w:rsidP="000E33AE">
      <w:pPr>
        <w:pStyle w:val="Listenabsatz0"/>
      </w:pPr>
    </w:p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5700A9" w:rsidP="00365A9E">
      <w:pPr>
        <w:pStyle w:val="berschrift1"/>
        <w:rPr>
          <w:sz w:val="2"/>
        </w:rPr>
      </w:pPr>
      <w:r>
        <w:t xml:space="preserve">Schuler legt </w:t>
      </w:r>
      <w:r w:rsidR="006C730C">
        <w:t xml:space="preserve">operativ </w:t>
      </w:r>
      <w:r w:rsidR="00337A1F">
        <w:t>weiter</w:t>
      </w:r>
      <w:r w:rsidR="006C730C">
        <w:t xml:space="preserve"> zu</w:t>
      </w:r>
      <w:r w:rsidR="00F733D5">
        <w:t xml:space="preserve"> </w:t>
      </w:r>
    </w:p>
    <w:p w:rsidR="006C730C" w:rsidRDefault="00337A1F" w:rsidP="0047180C">
      <w:pPr>
        <w:pStyle w:val="berschrift2"/>
        <w:numPr>
          <w:ilvl w:val="0"/>
          <w:numId w:val="14"/>
        </w:numPr>
      </w:pPr>
      <w:r>
        <w:t>Spitzenwert beim bereinigten Betriebsergebnis (EBITDA)</w:t>
      </w:r>
    </w:p>
    <w:p w:rsidR="00476D9C" w:rsidRDefault="00692415" w:rsidP="0047180C">
      <w:pPr>
        <w:pStyle w:val="berschrift2"/>
        <w:numPr>
          <w:ilvl w:val="0"/>
          <w:numId w:val="14"/>
        </w:numPr>
      </w:pPr>
      <w:r>
        <w:t>Eigenkapitalquote</w:t>
      </w:r>
      <w:r w:rsidR="006C730C">
        <w:t xml:space="preserve"> </w:t>
      </w:r>
      <w:r w:rsidR="00983A2F">
        <w:t>und Investitionen gestiegen</w:t>
      </w:r>
    </w:p>
    <w:p w:rsidR="00692415" w:rsidRDefault="00692415" w:rsidP="00692415">
      <w:pPr>
        <w:pStyle w:val="berschrift2"/>
        <w:numPr>
          <w:ilvl w:val="0"/>
          <w:numId w:val="14"/>
        </w:numPr>
      </w:pPr>
      <w:r>
        <w:t xml:space="preserve">Übernahme von </w:t>
      </w:r>
      <w:proofErr w:type="spellStart"/>
      <w:r>
        <w:t>Yadon</w:t>
      </w:r>
      <w:proofErr w:type="spellEnd"/>
      <w:r>
        <w:t xml:space="preserve"> baut Präsenz in China aus</w:t>
      </w:r>
    </w:p>
    <w:p w:rsidR="00AF2A76" w:rsidRPr="00AF2A76" w:rsidRDefault="00AF2A76" w:rsidP="00AF2A76"/>
    <w:p w:rsidR="00A37F3D" w:rsidRDefault="00C82B81" w:rsidP="00E50F8F">
      <w:r>
        <w:rPr>
          <w:i/>
        </w:rPr>
        <w:t xml:space="preserve">Göppingen, </w:t>
      </w:r>
      <w:r w:rsidR="00E41AB6">
        <w:rPr>
          <w:i/>
        </w:rPr>
        <w:t>0</w:t>
      </w:r>
      <w:r w:rsidR="00DC5DAA">
        <w:rPr>
          <w:i/>
        </w:rPr>
        <w:t>4.</w:t>
      </w:r>
      <w:r w:rsidR="00E41AB6">
        <w:rPr>
          <w:i/>
        </w:rPr>
        <w:t>03</w:t>
      </w:r>
      <w:r w:rsidR="005833D5" w:rsidRPr="005833D5">
        <w:rPr>
          <w:i/>
        </w:rPr>
        <w:t>.201</w:t>
      </w:r>
      <w:r w:rsidR="00DC5DAA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E23EF1">
        <w:t xml:space="preserve"> Der Pressenhersteller Schuler </w:t>
      </w:r>
      <w:r w:rsidR="00DC5DAA">
        <w:t xml:space="preserve">AG </w:t>
      </w:r>
      <w:r w:rsidR="00E23EF1">
        <w:t xml:space="preserve">hat </w:t>
      </w:r>
      <w:r w:rsidR="00DC5DAA">
        <w:t xml:space="preserve">den Umsatz und das um Sondereffekte bereinigte Ergebnis 2015 </w:t>
      </w:r>
      <w:r w:rsidR="00337A1F">
        <w:t>weiter verbessert</w:t>
      </w:r>
      <w:r w:rsidR="00DC5DAA">
        <w:t xml:space="preserve">. </w:t>
      </w:r>
      <w:r w:rsidR="00B473D6">
        <w:t>Der Umsatz erreichte mit 1,20 (</w:t>
      </w:r>
      <w:proofErr w:type="spellStart"/>
      <w:r w:rsidR="00B473D6">
        <w:t>Vj</w:t>
      </w:r>
      <w:proofErr w:type="spellEnd"/>
      <w:r w:rsidR="00B473D6">
        <w:t>. 1,18) Mrd. Euro den zweithöchsten Stand der 176jährigen Firmengeschichte. Der Betriebsgewinn (EBITDA)</w:t>
      </w:r>
      <w:r w:rsidR="001F02CA">
        <w:t>, ohne die Einmal-Belastungen des neuen Produktionskonzepts gerechnet,</w:t>
      </w:r>
      <w:r w:rsidR="00B473D6">
        <w:t xml:space="preserve"> lag mit 1</w:t>
      </w:r>
      <w:r w:rsidR="00123E82">
        <w:t>38,8</w:t>
      </w:r>
      <w:r w:rsidR="00B473D6">
        <w:t xml:space="preserve"> (110,5) Mio. Euro sogar auf Rekordniveau. </w:t>
      </w:r>
      <w:r w:rsidR="00A37F3D">
        <w:t>Schuler erreichte damit eine Marge 11,6 (9,4) Prozent.</w:t>
      </w:r>
    </w:p>
    <w:p w:rsidR="00A37F3D" w:rsidRDefault="00A37F3D" w:rsidP="00E50F8F"/>
    <w:p w:rsidR="004D48E7" w:rsidRDefault="004D48E7" w:rsidP="00E50F8F">
      <w:r>
        <w:t>„Zu</w:t>
      </w:r>
      <w:r w:rsidR="007007EC">
        <w:t xml:space="preserve">gelegt haben wir </w:t>
      </w:r>
      <w:r>
        <w:t xml:space="preserve"> 2015 </w:t>
      </w:r>
      <w:r w:rsidR="00337A1F">
        <w:t xml:space="preserve">beim Umsatz </w:t>
      </w:r>
      <w:r>
        <w:t xml:space="preserve">vor allem in Asien und Nordamerika“, sagte Vorstandsvorsitzender </w:t>
      </w:r>
      <w:r w:rsidR="00E50F8F">
        <w:t xml:space="preserve">Stefan </w:t>
      </w:r>
      <w:proofErr w:type="spellStart"/>
      <w:r w:rsidR="00E50F8F">
        <w:t>Klebert</w:t>
      </w:r>
      <w:proofErr w:type="spellEnd"/>
      <w:r w:rsidR="00E50F8F">
        <w:t xml:space="preserve"> bei der Bilanzvorlage </w:t>
      </w:r>
      <w:r w:rsidR="00E50F8F" w:rsidRPr="00E50F8F">
        <w:t xml:space="preserve">in </w:t>
      </w:r>
      <w:r>
        <w:t>Göppingen. „</w:t>
      </w:r>
      <w:r w:rsidR="006C730C">
        <w:t xml:space="preserve">Beim Auftragseingang </w:t>
      </w:r>
      <w:r w:rsidR="001343EF">
        <w:t xml:space="preserve">konnten wir den </w:t>
      </w:r>
      <w:r w:rsidR="006C730C">
        <w:t xml:space="preserve"> konjunkturelle</w:t>
      </w:r>
      <w:r w:rsidR="001343EF">
        <w:t>n Rückgang</w:t>
      </w:r>
      <w:r w:rsidR="006C730C">
        <w:t xml:space="preserve"> bei den Großanlagen für den A</w:t>
      </w:r>
      <w:r w:rsidR="00E10CA8">
        <w:t xml:space="preserve">utomotive-Sektor </w:t>
      </w:r>
      <w:r w:rsidR="001343EF">
        <w:t xml:space="preserve">durch das Wachstum in anderen Divisionen </w:t>
      </w:r>
      <w:r w:rsidR="006C730C">
        <w:t>teilweise ausgl</w:t>
      </w:r>
      <w:r w:rsidR="00885551">
        <w:t>e</w:t>
      </w:r>
      <w:r w:rsidR="006C730C">
        <w:t>ichen.</w:t>
      </w:r>
      <w:r>
        <w:t>“</w:t>
      </w:r>
    </w:p>
    <w:p w:rsidR="004D48E7" w:rsidRDefault="004D48E7" w:rsidP="00E50F8F"/>
    <w:p w:rsidR="000D496E" w:rsidRDefault="000D496E" w:rsidP="00E50F8F">
      <w:pPr>
        <w:rPr>
          <w:b/>
        </w:rPr>
      </w:pPr>
      <w:proofErr w:type="spellStart"/>
      <w:r w:rsidRPr="000D496E">
        <w:rPr>
          <w:b/>
        </w:rPr>
        <w:t>Yadon</w:t>
      </w:r>
      <w:proofErr w:type="spellEnd"/>
      <w:r w:rsidRPr="000D496E">
        <w:rPr>
          <w:b/>
        </w:rPr>
        <w:t>-</w:t>
      </w:r>
      <w:r w:rsidR="00825A16">
        <w:rPr>
          <w:b/>
        </w:rPr>
        <w:t>Vollzug</w:t>
      </w:r>
      <w:r w:rsidRPr="000D496E">
        <w:rPr>
          <w:b/>
        </w:rPr>
        <w:t xml:space="preserve"> noch im Frühjahr geplant</w:t>
      </w:r>
    </w:p>
    <w:p w:rsidR="00F002F6" w:rsidRDefault="00825A16" w:rsidP="00E50F8F">
      <w:r>
        <w:t xml:space="preserve">Besonderes Augenmerk legt Schuler auf neue Wachstumsmärkte in China und anderen Entwicklungsländern. </w:t>
      </w:r>
      <w:r w:rsidR="00DC7EF7">
        <w:t>Noch in diesem Frühjahr wi</w:t>
      </w:r>
      <w:r>
        <w:t>rd</w:t>
      </w:r>
      <w:r w:rsidR="00DC7EF7">
        <w:t xml:space="preserve"> die </w:t>
      </w:r>
      <w:r>
        <w:t xml:space="preserve">mehrheitliche </w:t>
      </w:r>
      <w:r w:rsidR="00DC7EF7">
        <w:t xml:space="preserve">Übernahme des chinesischen Pressenherstellers </w:t>
      </w:r>
      <w:proofErr w:type="spellStart"/>
      <w:r w:rsidR="00DC7EF7">
        <w:t>Yadon</w:t>
      </w:r>
      <w:proofErr w:type="spellEnd"/>
      <w:r w:rsidR="00DC7EF7">
        <w:t xml:space="preserve"> </w:t>
      </w:r>
      <w:r w:rsidR="00DC7EF7">
        <w:lastRenderedPageBreak/>
        <w:t xml:space="preserve">endgültig </w:t>
      </w:r>
      <w:r>
        <w:t>vollzogen. Die Genehmigung der chinesischen Aufsichtsbehörden liegt inzwischen vor.</w:t>
      </w:r>
      <w:r w:rsidR="00ED091A">
        <w:t xml:space="preserve"> </w:t>
      </w:r>
      <w:r>
        <w:t xml:space="preserve"> </w:t>
      </w:r>
      <w:proofErr w:type="spellStart"/>
      <w:r w:rsidR="00ED091A">
        <w:t>Yadon</w:t>
      </w:r>
      <w:proofErr w:type="spellEnd"/>
      <w:r w:rsidR="00ED091A">
        <w:t xml:space="preserve">, in der ostchinesischen Provinz </w:t>
      </w:r>
      <w:proofErr w:type="spellStart"/>
      <w:r w:rsidR="00ED091A">
        <w:t>Jiangsu</w:t>
      </w:r>
      <w:proofErr w:type="spellEnd"/>
      <w:r w:rsidR="00ED091A">
        <w:t xml:space="preserve"> </w:t>
      </w:r>
      <w:r w:rsidR="000D496E">
        <w:t>ansässig</w:t>
      </w:r>
      <w:r w:rsidR="00ED091A">
        <w:t>, setzt mit 1</w:t>
      </w:r>
      <w:r w:rsidR="00AF2A76">
        <w:t>.</w:t>
      </w:r>
      <w:r w:rsidR="00ED091A">
        <w:t xml:space="preserve">000 Mitarbeitern rund 110 Mio. Euro um. „Unsere Mehrheitsbeteiligung </w:t>
      </w:r>
      <w:r>
        <w:t xml:space="preserve">ist der strategische Schlüssel, der </w:t>
      </w:r>
      <w:r w:rsidR="00ED091A">
        <w:t xml:space="preserve">uns die Tür in das stark wachsende mittlere Preis-Leistungs-Segment </w:t>
      </w:r>
      <w:r w:rsidR="00870B93">
        <w:t xml:space="preserve">im </w:t>
      </w:r>
      <w:r w:rsidR="00ED091A">
        <w:t>Pressenbau</w:t>
      </w:r>
      <w:r>
        <w:t xml:space="preserve"> öffnet</w:t>
      </w:r>
      <w:r w:rsidR="00ED091A">
        <w:t xml:space="preserve">“, erklärte Schuler CEO </w:t>
      </w:r>
      <w:proofErr w:type="spellStart"/>
      <w:r w:rsidR="00ED091A">
        <w:t>Klebert</w:t>
      </w:r>
      <w:proofErr w:type="spellEnd"/>
      <w:r w:rsidR="00ED091A">
        <w:t xml:space="preserve">. </w:t>
      </w:r>
      <w:r w:rsidR="00870B93">
        <w:t>„</w:t>
      </w:r>
      <w:r w:rsidR="00ED091A">
        <w:t xml:space="preserve">Allein mit dem Export deutscher </w:t>
      </w:r>
      <w:r>
        <w:t xml:space="preserve">hochpreisiger </w:t>
      </w:r>
      <w:r w:rsidR="00ED091A">
        <w:t xml:space="preserve">Spitzentechnologie </w:t>
      </w:r>
      <w:r w:rsidR="00F002F6">
        <w:t>lässt sich diese</w:t>
      </w:r>
      <w:r w:rsidR="001F02CA">
        <w:t>s Segment</w:t>
      </w:r>
      <w:r w:rsidR="00ED091A">
        <w:t xml:space="preserve"> nicht erobern, weder in China noch in den USA oder in </w:t>
      </w:r>
      <w:r w:rsidR="001F02CA">
        <w:t>Schwellenländern</w:t>
      </w:r>
      <w:r w:rsidR="00ED091A">
        <w:t xml:space="preserve">.“ </w:t>
      </w:r>
    </w:p>
    <w:p w:rsidR="00F002F6" w:rsidRDefault="00F002F6" w:rsidP="00E50F8F"/>
    <w:p w:rsidR="00044918" w:rsidRDefault="00ED091A" w:rsidP="00E50F8F">
      <w:r>
        <w:t xml:space="preserve">Deutschland bleibt </w:t>
      </w:r>
      <w:r w:rsidR="00E10200">
        <w:t xml:space="preserve">für Schuler </w:t>
      </w:r>
      <w:r>
        <w:t>der zentrale Entwicklungs- und Produktionsstand</w:t>
      </w:r>
      <w:r w:rsidR="00E10200">
        <w:t>ort für die Premium-Technologie</w:t>
      </w:r>
      <w:r>
        <w:t>, wie sie zum Beispiel im automobilen Leichtbau, bei Großrohren oder Bahnausrüstungen zum Einsatz kommt.</w:t>
      </w:r>
      <w:r w:rsidR="00045F35">
        <w:t xml:space="preserve"> </w:t>
      </w:r>
      <w:r w:rsidR="00044918">
        <w:t>Zur Verbesserung der Kostenstrukturen und der Fertigungsflexibilität wi</w:t>
      </w:r>
      <w:r w:rsidR="00E10200">
        <w:t>rd</w:t>
      </w:r>
      <w:r w:rsidR="00044918">
        <w:t xml:space="preserve"> Schuler</w:t>
      </w:r>
      <w:r w:rsidR="00E10200">
        <w:t xml:space="preserve">, wie bereits mitgeteilt, </w:t>
      </w:r>
      <w:r w:rsidR="00044918">
        <w:t>bis Ende 2017 die Produktion in Deutschland auf vier von bisher sieben Standorten konzentrieren. Davon betroffen sind rund 450 der Ende vergangenen Jahres 5</w:t>
      </w:r>
      <w:r w:rsidR="00AF2A76">
        <w:t>.</w:t>
      </w:r>
      <w:r w:rsidR="00044918">
        <w:t>176 (Vorjahr 5</w:t>
      </w:r>
      <w:r w:rsidR="00AF2A76">
        <w:t>.</w:t>
      </w:r>
      <w:r w:rsidR="00044918">
        <w:t>423) Mitarbeiter, für die jetzt in Verhandlungen mit d</w:t>
      </w:r>
      <w:r w:rsidR="008618F3">
        <w:t>en Betriebsräten ein Interessen</w:t>
      </w:r>
      <w:r w:rsidR="00044918">
        <w:t xml:space="preserve">ausgleich gesucht wird. </w:t>
      </w:r>
    </w:p>
    <w:p w:rsidR="00044918" w:rsidRDefault="00044918" w:rsidP="00E50F8F"/>
    <w:p w:rsidR="007D508E" w:rsidRDefault="00044918" w:rsidP="00E50F8F">
      <w:r>
        <w:t xml:space="preserve">Im Zusammenhang mit dem neuen Produktionskonzept </w:t>
      </w:r>
      <w:r w:rsidR="00870B93">
        <w:t xml:space="preserve">und begleitenden Effizienzmaßnahmen </w:t>
      </w:r>
      <w:r>
        <w:t xml:space="preserve">hat Schuler 2015 als Sondereffekt Aufwendungen in Höhe von rund 73 Mio. Euro verbucht. Diese </w:t>
      </w:r>
      <w:r w:rsidR="00870B93">
        <w:t>ein</w:t>
      </w:r>
      <w:r>
        <w:t>gerechnet, betrug das Ergebnis vor Zinsen, Steuern, Abschreibungen und Amortisierung (EBITDA) immer noch 70,9 (Vorjahr 120,9) Mio. Euro</w:t>
      </w:r>
      <w:r w:rsidR="007D508E">
        <w:t>.</w:t>
      </w:r>
      <w:r w:rsidR="00FF2727">
        <w:t xml:space="preserve"> </w:t>
      </w:r>
      <w:r w:rsidR="00A37F3D">
        <w:t xml:space="preserve">Die Marge lag bei 5,9 (10,3) Prozent. </w:t>
      </w:r>
      <w:r w:rsidR="00FF2727">
        <w:t>Das Konzernergebnis erreichte 39,3 (66,9) Mio. Euro.</w:t>
      </w:r>
    </w:p>
    <w:p w:rsidR="007D508E" w:rsidRDefault="007D508E" w:rsidP="00E50F8F"/>
    <w:p w:rsidR="000D496E" w:rsidRPr="000D496E" w:rsidRDefault="000D496E" w:rsidP="00E50F8F">
      <w:pPr>
        <w:rPr>
          <w:b/>
        </w:rPr>
      </w:pPr>
      <w:r w:rsidRPr="000D496E">
        <w:rPr>
          <w:b/>
        </w:rPr>
        <w:t>Zuwächse in China und Nordamerika</w:t>
      </w:r>
    </w:p>
    <w:p w:rsidR="007D508E" w:rsidRDefault="007D508E" w:rsidP="00E50F8F">
      <w:r>
        <w:t xml:space="preserve">Am Umsatz von insgesamt 1,20 Mrd. Euro hatte Europa </w:t>
      </w:r>
      <w:r w:rsidR="00F002F6">
        <w:t xml:space="preserve">2015 </w:t>
      </w:r>
      <w:r>
        <w:t xml:space="preserve">mit 605 (658) Mio. Euro immer noch den größten Anteil. China legte auf 299 (272) </w:t>
      </w:r>
      <w:r>
        <w:lastRenderedPageBreak/>
        <w:t>Mio. Euro zu, die Region Nordamerika auf 190 (133) Mio. Euro. In den USA konnte Schuler erstmals seit mehreren Jahren wieder einen großen amerikanischen Automobilhersteller als Kunden für seine Pressenlinien gewinnen.</w:t>
      </w:r>
    </w:p>
    <w:p w:rsidR="007D508E" w:rsidRDefault="007D508E" w:rsidP="00E50F8F"/>
    <w:p w:rsidR="00045F35" w:rsidRDefault="007D508E" w:rsidP="00E50F8F">
      <w:r>
        <w:t xml:space="preserve">Konzernweit gesunken sind 2015 der Auftragseingang auf 1,02 (1,19) Mrd. </w:t>
      </w:r>
      <w:r w:rsidR="008618F3">
        <w:t xml:space="preserve">Euro </w:t>
      </w:r>
      <w:r>
        <w:t xml:space="preserve">und der Auftragsbestand per Jahresende auf 0,89 (1,06) Mrd. Euro. „Wir können uns der konjunkturellen Abschwächung in wichtigen Bereichen der Weltwirtschaft und den Auswirkungen geopolitischer Konflikte </w:t>
      </w:r>
      <w:r w:rsidR="001F02CA">
        <w:t xml:space="preserve">auf das Investitionsklima </w:t>
      </w:r>
      <w:r>
        <w:t xml:space="preserve">nicht völlig entziehen“, sagte Finanzvorstand Norbert </w:t>
      </w:r>
      <w:proofErr w:type="spellStart"/>
      <w:r>
        <w:t>Broger</w:t>
      </w:r>
      <w:proofErr w:type="spellEnd"/>
      <w:r>
        <w:t xml:space="preserve">. </w:t>
      </w:r>
      <w:r w:rsidR="00677EBB">
        <w:t xml:space="preserve">„Deshalb prognostizieren wir auch für 2016 eine Umsatz- und Ergebnisentwicklung spürbar unter </w:t>
      </w:r>
      <w:r w:rsidR="00C85C10">
        <w:t>Vorjahr</w:t>
      </w:r>
      <w:r w:rsidR="00677EBB">
        <w:t>.</w:t>
      </w:r>
      <w:r w:rsidR="00C85C10">
        <w:t>“</w:t>
      </w:r>
      <w:r w:rsidR="00677EBB">
        <w:t xml:space="preserve"> </w:t>
      </w:r>
    </w:p>
    <w:p w:rsidR="00A37F3D" w:rsidRDefault="00A37F3D" w:rsidP="00E50F8F"/>
    <w:p w:rsidR="000D496E" w:rsidRPr="000D496E" w:rsidRDefault="000D496E" w:rsidP="004B64DD">
      <w:pPr>
        <w:rPr>
          <w:b/>
        </w:rPr>
      </w:pPr>
      <w:r w:rsidRPr="000D496E">
        <w:rPr>
          <w:b/>
        </w:rPr>
        <w:t>Höhere</w:t>
      </w:r>
      <w:r>
        <w:rPr>
          <w:b/>
        </w:rPr>
        <w:t xml:space="preserve">s Eigenkapital </w:t>
      </w:r>
      <w:r w:rsidRPr="000D496E">
        <w:rPr>
          <w:b/>
        </w:rPr>
        <w:t>und neuer Konsortial</w:t>
      </w:r>
      <w:r w:rsidR="008618F3">
        <w:rPr>
          <w:b/>
        </w:rPr>
        <w:t>kredit</w:t>
      </w:r>
      <w:r w:rsidRPr="000D496E">
        <w:rPr>
          <w:b/>
        </w:rPr>
        <w:t>vertrag</w:t>
      </w:r>
    </w:p>
    <w:p w:rsidR="00FF2727" w:rsidRDefault="00A37F3D" w:rsidP="004B64DD">
      <w:r>
        <w:t>Wegen der positiven Ertragsentwicklung und der mo</w:t>
      </w:r>
      <w:r w:rsidR="00F002F6">
        <w:t xml:space="preserve">deraten Ausschüttungspolitik </w:t>
      </w:r>
      <w:r w:rsidR="00E10200">
        <w:t xml:space="preserve">der vergangenen Jahre </w:t>
      </w:r>
      <w:r w:rsidR="00F002F6">
        <w:t xml:space="preserve">hat </w:t>
      </w:r>
      <w:r>
        <w:t>Schuler, zu über 90 Prozent im Eigentum der öste</w:t>
      </w:r>
      <w:r w:rsidR="005900C7">
        <w:t>r</w:t>
      </w:r>
      <w:r>
        <w:t>re</w:t>
      </w:r>
      <w:r w:rsidR="005900C7">
        <w:t>i</w:t>
      </w:r>
      <w:r>
        <w:t xml:space="preserve">chischen ANDRITZ Gruppe, </w:t>
      </w:r>
      <w:r w:rsidR="00F002F6">
        <w:t xml:space="preserve">seine </w:t>
      </w:r>
      <w:r w:rsidR="00045F35">
        <w:t xml:space="preserve"> Kapitalausstattung</w:t>
      </w:r>
      <w:r w:rsidR="00F002F6">
        <w:t xml:space="preserve"> weiter verbesser</w:t>
      </w:r>
      <w:r w:rsidR="002350D8">
        <w:t>n können</w:t>
      </w:r>
      <w:r w:rsidR="003F73D0">
        <w:t xml:space="preserve">. Die Eigenkapitalquote </w:t>
      </w:r>
      <w:r w:rsidR="00045F35">
        <w:t>legte 2015 auf 34,3 (28,7) Prozent zu</w:t>
      </w:r>
      <w:r w:rsidR="00FF2727">
        <w:t>, der höchste Stand seit dem Börsengang 1999</w:t>
      </w:r>
      <w:r w:rsidR="00045F35">
        <w:t xml:space="preserve">. </w:t>
      </w:r>
      <w:r w:rsidR="00896BEF">
        <w:t xml:space="preserve">Zudem </w:t>
      </w:r>
      <w:r w:rsidR="00F002F6">
        <w:t xml:space="preserve">nutzte </w:t>
      </w:r>
      <w:r w:rsidR="00896BEF">
        <w:t>Schuler die derzeit guten Marktkonditionen, um mit seinen Banken und Kreditversicherungen einen neuen Konsortial</w:t>
      </w:r>
      <w:r w:rsidR="008618F3">
        <w:t>kredit</w:t>
      </w:r>
      <w:r w:rsidR="00896BEF">
        <w:t>vertrag mit fünfjähriger Laufzeit in Höhe von 350 Mio. Euro abzuschließen. Der Vertrag kann zweimal um jeweils ein Jahr verlängert, der Betrag um weitere 150 Mio. Euro erhöht werden.</w:t>
      </w:r>
    </w:p>
    <w:p w:rsidR="00FF2727" w:rsidRDefault="00FF2727" w:rsidP="004B64DD"/>
    <w:p w:rsidR="007D10BF" w:rsidRDefault="007B01F1" w:rsidP="004B64DD">
      <w:r>
        <w:t xml:space="preserve">„Wir verfügen sowohl auf der Eigen- wie auf der Fremdkapitalseite über eine </w:t>
      </w:r>
      <w:r w:rsidR="00FF2727">
        <w:t xml:space="preserve">sehr </w:t>
      </w:r>
      <w:r>
        <w:t>solide finanzielle Grundlage</w:t>
      </w:r>
      <w:r w:rsidR="00FF2727">
        <w:t xml:space="preserve">, </w:t>
      </w:r>
      <w:r w:rsidR="00825A16">
        <w:t xml:space="preserve">auch </w:t>
      </w:r>
      <w:r w:rsidR="00FF2727">
        <w:t xml:space="preserve">um strategische Möglichkeiten wie die Übernahme von </w:t>
      </w:r>
      <w:proofErr w:type="spellStart"/>
      <w:r w:rsidR="00FF2727">
        <w:t>Yadon</w:t>
      </w:r>
      <w:proofErr w:type="spellEnd"/>
      <w:r w:rsidR="00FF2727">
        <w:t xml:space="preserve"> wahrnehmen zu können</w:t>
      </w:r>
      <w:r>
        <w:t xml:space="preserve">“, sagte </w:t>
      </w:r>
      <w:r w:rsidR="00825A16">
        <w:t xml:space="preserve">Vorstandschef </w:t>
      </w:r>
      <w:proofErr w:type="spellStart"/>
      <w:r w:rsidR="00825A16">
        <w:t>Klebert</w:t>
      </w:r>
      <w:proofErr w:type="spellEnd"/>
      <w:r>
        <w:t xml:space="preserve">.  </w:t>
      </w:r>
      <w:r w:rsidR="006F407F">
        <w:t xml:space="preserve">Der Nettofinanzstatus (liquide Mittel </w:t>
      </w:r>
      <w:r w:rsidR="006F407F">
        <w:lastRenderedPageBreak/>
        <w:t xml:space="preserve">abzüglich Finanzschulden) </w:t>
      </w:r>
      <w:r>
        <w:t>lag 2015 mit 281 (404) Mio. Euro weiter über dem langjährigen Mittelwert.</w:t>
      </w:r>
      <w:r w:rsidR="00692415">
        <w:t xml:space="preserve"> Schuler steigerte die Investitionen 2015 um über 40 Prozent auf 3</w:t>
      </w:r>
      <w:r w:rsidR="00CB67B8">
        <w:t>8,2</w:t>
      </w:r>
      <w:r w:rsidR="00692415">
        <w:t xml:space="preserve"> (26,5) Mio. Euro.</w:t>
      </w:r>
      <w:r>
        <w:t xml:space="preserve"> </w:t>
      </w:r>
    </w:p>
    <w:p w:rsidR="0031052B" w:rsidRDefault="0031052B" w:rsidP="0031052B"/>
    <w:p w:rsidR="00DF4D75" w:rsidRDefault="00DF4D75" w:rsidP="0031052B"/>
    <w:p w:rsidR="00DF4D75" w:rsidRPr="00213BD4" w:rsidRDefault="00DF4D75" w:rsidP="00DF4D75">
      <w:r w:rsidRPr="00213BD4">
        <w:rPr>
          <w:b/>
        </w:rPr>
        <w:t>Schuler-Konzernkennzahlen</w:t>
      </w:r>
      <w:r>
        <w:rPr>
          <w:b/>
        </w:rPr>
        <w:t xml:space="preserve"> (IFRS)</w:t>
      </w:r>
      <w:r w:rsidRPr="00213BD4">
        <w:rPr>
          <w:b/>
        </w:rPr>
        <w:t xml:space="preserve">: 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851"/>
        <w:gridCol w:w="1488"/>
        <w:gridCol w:w="1489"/>
      </w:tblGrid>
      <w:tr w:rsidR="00DF4D75" w:rsidRPr="00213BD4" w:rsidTr="002D1BC7">
        <w:tc>
          <w:tcPr>
            <w:tcW w:w="3510" w:type="dxa"/>
            <w:shd w:val="clear" w:color="auto" w:fill="auto"/>
          </w:tcPr>
          <w:p w:rsidR="00DF4D75" w:rsidRPr="00213BD4" w:rsidRDefault="00DF4D75" w:rsidP="00B077EE"/>
        </w:tc>
        <w:tc>
          <w:tcPr>
            <w:tcW w:w="851" w:type="dxa"/>
            <w:shd w:val="clear" w:color="auto" w:fill="auto"/>
          </w:tcPr>
          <w:p w:rsidR="00DF4D75" w:rsidRPr="00213BD4" w:rsidRDefault="00DF4D75" w:rsidP="00B077EE"/>
        </w:tc>
        <w:tc>
          <w:tcPr>
            <w:tcW w:w="1488" w:type="dxa"/>
            <w:shd w:val="clear" w:color="auto" w:fill="auto"/>
          </w:tcPr>
          <w:p w:rsidR="00DF4D75" w:rsidRPr="00213BD4" w:rsidRDefault="00DF4D75" w:rsidP="00B077EE">
            <w:pPr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489" w:type="dxa"/>
            <w:shd w:val="clear" w:color="auto" w:fill="auto"/>
          </w:tcPr>
          <w:p w:rsidR="00DF4D75" w:rsidRPr="00A376EA" w:rsidRDefault="00DF4D75" w:rsidP="00B077EE">
            <w:pPr>
              <w:rPr>
                <w:b/>
              </w:rPr>
            </w:pPr>
            <w:r w:rsidRPr="00A376EA">
              <w:rPr>
                <w:b/>
              </w:rPr>
              <w:t>2014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Umsatz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A376EA">
              <w:rPr>
                <w:b/>
              </w:rPr>
              <w:t>1.200,0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2877B6">
              <w:t>1.178,5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Auftragseingang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A376EA">
              <w:rPr>
                <w:b/>
              </w:rPr>
              <w:t>1.015,7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F6190D">
              <w:t>1.193,7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Auftragsbestand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A376EA">
              <w:rPr>
                <w:b/>
              </w:rPr>
              <w:t>894,7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F6190D">
              <w:t>1.057,9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55C5C" w:rsidP="00A37F3D">
            <w:r>
              <w:t xml:space="preserve">EBITDA </w:t>
            </w:r>
            <w:r w:rsidR="00A37F3D">
              <w:t>ohne SE/mit SE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55C5C" w:rsidP="00B077EE">
            <w:pPr>
              <w:rPr>
                <w:b/>
              </w:rPr>
            </w:pPr>
            <w:r>
              <w:rPr>
                <w:b/>
              </w:rPr>
              <w:t xml:space="preserve">138,8 </w:t>
            </w:r>
            <w:r w:rsidRPr="00D55C5C">
              <w:t>/ 70,9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55C5C" w:rsidP="00B077EE">
            <w:r>
              <w:t>110,5 / 120,9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55C5C" w:rsidP="00A37F3D">
            <w:r>
              <w:t xml:space="preserve">EBIT </w:t>
            </w:r>
            <w:r w:rsidR="00A37F3D">
              <w:t>ohne SE/mit SE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55C5C" w:rsidP="00B077EE">
            <w:pPr>
              <w:rPr>
                <w:b/>
              </w:rPr>
            </w:pPr>
            <w:r>
              <w:rPr>
                <w:b/>
              </w:rPr>
              <w:t xml:space="preserve">115,7 </w:t>
            </w:r>
            <w:r w:rsidRPr="00D55C5C">
              <w:t xml:space="preserve">/ </w:t>
            </w:r>
            <w:r w:rsidR="00DF4D75" w:rsidRPr="00D55C5C">
              <w:t>43,1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BA09F2" w:rsidP="00B077EE">
            <w:r>
              <w:t xml:space="preserve">88,8 / </w:t>
            </w:r>
            <w:r w:rsidR="00DF4D75" w:rsidRPr="00F6190D">
              <w:t>99,2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A37F3D">
            <w:r w:rsidRPr="00213BD4">
              <w:t>E</w:t>
            </w:r>
            <w:r w:rsidR="00D55C5C">
              <w:t xml:space="preserve">BT </w:t>
            </w:r>
            <w:r w:rsidR="00A37F3D">
              <w:t>ohne SE</w:t>
            </w:r>
            <w:r w:rsidR="00D55C5C" w:rsidRPr="00D55C5C">
              <w:t>/</w:t>
            </w:r>
            <w:r w:rsidR="00A37F3D">
              <w:t>mit SE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BA09F2" w:rsidRDefault="00BA09F2" w:rsidP="00B077EE">
            <w:r>
              <w:rPr>
                <w:b/>
              </w:rPr>
              <w:t xml:space="preserve">116,6 </w:t>
            </w:r>
            <w:r>
              <w:t xml:space="preserve">/ </w:t>
            </w:r>
            <w:r w:rsidR="00DF4D75" w:rsidRPr="00BA09F2">
              <w:t>44,0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BA09F2" w:rsidP="00B077EE">
            <w:r>
              <w:t xml:space="preserve">90,3 / </w:t>
            </w:r>
            <w:r w:rsidR="00DF4D75" w:rsidRPr="00F6190D">
              <w:t>100,7</w:t>
            </w:r>
          </w:p>
        </w:tc>
      </w:tr>
      <w:tr w:rsidR="00D55C5C" w:rsidRPr="00213BD4" w:rsidTr="00077ED1">
        <w:tc>
          <w:tcPr>
            <w:tcW w:w="3510" w:type="dxa"/>
            <w:shd w:val="clear" w:color="auto" w:fill="auto"/>
            <w:vAlign w:val="center"/>
          </w:tcPr>
          <w:p w:rsidR="00D55C5C" w:rsidRPr="00213BD4" w:rsidRDefault="00D55C5C" w:rsidP="00A37F3D">
            <w:r w:rsidRPr="00D55C5C">
              <w:t>EBITDA</w:t>
            </w:r>
            <w:r>
              <w:t>-Marge</w:t>
            </w:r>
            <w:r w:rsidR="00A37F3D">
              <w:t xml:space="preserve"> ohne SE/mit SE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55C5C" w:rsidRPr="00213BD4" w:rsidRDefault="00D55C5C" w:rsidP="00077ED1">
            <w:r>
              <w:t>%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55C5C" w:rsidRPr="00BA09F2" w:rsidRDefault="00BA09F2" w:rsidP="00077ED1">
            <w:r>
              <w:rPr>
                <w:b/>
              </w:rPr>
              <w:t xml:space="preserve">11,6 </w:t>
            </w:r>
            <w:r>
              <w:t xml:space="preserve">/ </w:t>
            </w:r>
            <w:r w:rsidR="00D55C5C" w:rsidRPr="00BA09F2">
              <w:t>5,9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55C5C" w:rsidRPr="00213BD4" w:rsidRDefault="00BA09F2" w:rsidP="00077ED1">
            <w:r w:rsidRPr="009E2F4C">
              <w:t>9,4 /</w:t>
            </w:r>
            <w:r>
              <w:t xml:space="preserve"> </w:t>
            </w:r>
            <w:r w:rsidR="00D55C5C">
              <w:t>10,3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Konzernergebnis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2877B6">
              <w:rPr>
                <w:b/>
              </w:rPr>
              <w:t>39,3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F6190D">
              <w:t>66,9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Default="00DF4D75" w:rsidP="00B077EE">
            <w:r>
              <w:t>Bilanzsumme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Default="00DF4D75" w:rsidP="00B077EE">
            <w:r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Default="00DF4D75" w:rsidP="00B077EE">
            <w:pPr>
              <w:rPr>
                <w:b/>
              </w:rPr>
            </w:pPr>
            <w:r w:rsidRPr="002877B6">
              <w:rPr>
                <w:b/>
              </w:rPr>
              <w:t>1.074,5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Default="00DF4D75" w:rsidP="00B077EE">
            <w:r w:rsidRPr="00F6190D">
              <w:t>1.121,7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Default="00DF4D75" w:rsidP="00B077EE">
            <w:r>
              <w:t>Eigenkapital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Default="00DF4D75" w:rsidP="00B077EE">
            <w:r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Default="00DF4D75" w:rsidP="00B077EE">
            <w:pPr>
              <w:rPr>
                <w:b/>
              </w:rPr>
            </w:pPr>
            <w:r w:rsidRPr="002877B6">
              <w:rPr>
                <w:b/>
              </w:rPr>
              <w:t>369,1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Default="00DF4D75" w:rsidP="00B077EE">
            <w:r w:rsidRPr="00F6190D">
              <w:t>322,0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Eigenkapitalquot</w:t>
            </w:r>
            <w:r>
              <w:t>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%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2877B6">
              <w:rPr>
                <w:b/>
              </w:rPr>
              <w:t>34,3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F6190D">
              <w:t>28,7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>
              <w:t>Nettofinanzstatus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>
              <w:t>Mio. €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537D57" w:rsidRDefault="00DF4D75" w:rsidP="00B077EE">
            <w:pPr>
              <w:rPr>
                <w:b/>
              </w:rPr>
            </w:pPr>
            <w:r w:rsidRPr="002877B6">
              <w:rPr>
                <w:b/>
              </w:rPr>
              <w:t>281,3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Default="00DF4D75" w:rsidP="00B077EE">
            <w:r w:rsidRPr="00F6190D">
              <w:t>403,9</w:t>
            </w:r>
          </w:p>
        </w:tc>
      </w:tr>
      <w:tr w:rsidR="00DF4D75" w:rsidRPr="00213BD4" w:rsidTr="002D1BC7">
        <w:tc>
          <w:tcPr>
            <w:tcW w:w="3510" w:type="dxa"/>
            <w:shd w:val="clear" w:color="auto" w:fill="auto"/>
            <w:vAlign w:val="center"/>
          </w:tcPr>
          <w:p w:rsidR="00DF4D75" w:rsidRPr="00213BD4" w:rsidRDefault="00DF4D75" w:rsidP="00B077EE">
            <w:r w:rsidRPr="00213BD4">
              <w:t>Mitarbeiter</w:t>
            </w:r>
            <w:r>
              <w:rPr>
                <w:vertAlign w:val="superscript"/>
              </w:rPr>
              <w:t xml:space="preserve"> </w:t>
            </w:r>
            <w:r>
              <w:t>inkl. Auszubildende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D75" w:rsidRPr="00213BD4" w:rsidRDefault="00DF4D75" w:rsidP="00B077EE">
            <w:r>
              <w:t>Anzahl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F4D75" w:rsidRPr="00213BD4" w:rsidRDefault="00DF4D75" w:rsidP="00B077EE">
            <w:pPr>
              <w:rPr>
                <w:b/>
              </w:rPr>
            </w:pPr>
            <w:r w:rsidRPr="00F6190D">
              <w:rPr>
                <w:b/>
              </w:rPr>
              <w:t>5.176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F4D75" w:rsidRPr="00213BD4" w:rsidRDefault="00DF4D75" w:rsidP="00B077EE">
            <w:r w:rsidRPr="00F6190D">
              <w:t>5.423</w:t>
            </w:r>
          </w:p>
        </w:tc>
      </w:tr>
    </w:tbl>
    <w:p w:rsidR="005900C7" w:rsidRDefault="005900C7" w:rsidP="00DF4D75"/>
    <w:p w:rsidR="005900C7" w:rsidRDefault="00A37F3D" w:rsidP="00DF4D75">
      <w:r>
        <w:t xml:space="preserve">SE = Ergebniswirksame Sondereffekte </w:t>
      </w:r>
      <w:r w:rsidR="005900C7">
        <w:t>aus der Umsetzung von</w:t>
      </w:r>
    </w:p>
    <w:p w:rsidR="00A37F3D" w:rsidRDefault="005900C7" w:rsidP="00DF4D75">
      <w:r>
        <w:t xml:space="preserve">        Restrukturierungsprogrammen</w:t>
      </w:r>
      <w:r w:rsidR="00A37F3D">
        <w:t xml:space="preserve"> </w:t>
      </w:r>
    </w:p>
    <w:p w:rsidR="00DF4D75" w:rsidRDefault="00DF4D75" w:rsidP="00DF4D75"/>
    <w:p w:rsidR="00DF4D75" w:rsidRDefault="00DF4D75" w:rsidP="00DF4D75">
      <w:r>
        <w:t>Den Online-Geschäftsbericht 201</w:t>
      </w:r>
      <w:r w:rsidR="008618F3">
        <w:t>5</w:t>
      </w:r>
      <w:r>
        <w:t xml:space="preserve"> finden Sie unter folgendem Link:</w:t>
      </w:r>
    </w:p>
    <w:p w:rsidR="00DF4D75" w:rsidRDefault="009B7172" w:rsidP="00DF4D75">
      <w:hyperlink r:id="rId11" w:history="1">
        <w:r w:rsidR="00DF4D75" w:rsidRPr="00EE79B0">
          <w:rPr>
            <w:rStyle w:val="Hyperlink"/>
          </w:rPr>
          <w:t>http://www.schulergroup.com/investor_relations/finanzberichte</w:t>
        </w:r>
      </w:hyperlink>
    </w:p>
    <w:p w:rsidR="007E1606" w:rsidRDefault="007E1606" w:rsidP="007E1606"/>
    <w:p w:rsidR="006D0ACF" w:rsidRDefault="006D0ACF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E41AB6" w:rsidRDefault="006D0ACF" w:rsidP="006D0ACF">
      <w:pPr>
        <w:pStyle w:val="berschrift2"/>
      </w:pPr>
      <w:r>
        <w:lastRenderedPageBreak/>
        <w:t>Bilder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4142"/>
      </w:tblGrid>
      <w:tr w:rsidR="006D0ACF" w:rsidTr="006D0ACF">
        <w:tc>
          <w:tcPr>
            <w:tcW w:w="2660" w:type="dxa"/>
          </w:tcPr>
          <w:p w:rsidR="006D0ACF" w:rsidRDefault="00C41C0F" w:rsidP="006D0ACF">
            <w:r>
              <w:rPr>
                <w:noProof/>
              </w:rPr>
              <w:drawing>
                <wp:inline distT="0" distB="0" distL="0" distR="0" wp14:anchorId="55609B94" wp14:editId="763D60F1">
                  <wp:extent cx="1333500" cy="1185682"/>
                  <wp:effectExtent l="0" t="0" r="0" b="0"/>
                  <wp:docPr id="7" name="Grafik 7" descr="M:\DATEN\GP\Media Relations\Vorgänge\2016_03_04_BPK\Bil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ATEN\GP\Media Relations\Vorgänge\2016_03_04_BPK\Bil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980" cy="1187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6D0ACF" w:rsidRDefault="006D0ACF" w:rsidP="006D0ACF">
            <w:r>
              <w:t xml:space="preserve">Bild1.jpg: </w:t>
            </w:r>
            <w:r w:rsidR="00196EAD">
              <w:t xml:space="preserve">Die Mehrheitsbeteiligung am chinesischen Pressenbauer </w:t>
            </w:r>
            <w:proofErr w:type="spellStart"/>
            <w:r w:rsidR="00196EAD">
              <w:t>Yadon</w:t>
            </w:r>
            <w:proofErr w:type="spellEnd"/>
            <w:r w:rsidR="00196EAD">
              <w:t xml:space="preserve"> öffnet für Schuler das stark wachsende mittlere Preis-Leistungs-Segment.</w:t>
            </w:r>
          </w:p>
        </w:tc>
      </w:tr>
      <w:tr w:rsidR="006D0ACF" w:rsidTr="006D0ACF">
        <w:tc>
          <w:tcPr>
            <w:tcW w:w="2660" w:type="dxa"/>
          </w:tcPr>
          <w:p w:rsidR="006D0ACF" w:rsidRDefault="00C41C0F" w:rsidP="006D0ACF">
            <w:r>
              <w:rPr>
                <w:noProof/>
              </w:rPr>
              <w:drawing>
                <wp:inline distT="0" distB="0" distL="0" distR="0" wp14:anchorId="221B6E02" wp14:editId="11581287">
                  <wp:extent cx="1323398" cy="1247775"/>
                  <wp:effectExtent l="0" t="0" r="0" b="0"/>
                  <wp:docPr id="4" name="Grafik 4" descr="M:\DATEN\GP\Media Relations\Vorgänge\2016_03_04_BPK\2016_03_04_bpk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ATEN\GP\Media Relations\Vorgänge\2016_03_04_BPK\2016_03_04_bpk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10" r="16097" b="3650"/>
                          <a:stretch/>
                        </pic:blipFill>
                        <pic:spPr bwMode="auto">
                          <a:xfrm>
                            <a:off x="0" y="0"/>
                            <a:ext cx="1323727" cy="124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6D0ACF" w:rsidRDefault="006D0ACF" w:rsidP="00C41C0F">
            <w:r>
              <w:t>Bild2.jpg:</w:t>
            </w:r>
            <w:r w:rsidR="00196EAD">
              <w:t xml:space="preserve"> </w:t>
            </w:r>
            <w:r w:rsidR="00196EAD" w:rsidRPr="00196EAD">
              <w:t>Deutschland bleibt für Schuler der zentrale Entwicklungs- und Produktionsstandort für die Premium-Technologie</w:t>
            </w:r>
            <w:r w:rsidR="00196EAD">
              <w:t xml:space="preserve"> wie etwa Formhärte-Anlagen.</w:t>
            </w:r>
          </w:p>
        </w:tc>
      </w:tr>
      <w:tr w:rsidR="006D0ACF" w:rsidTr="006D0ACF">
        <w:tc>
          <w:tcPr>
            <w:tcW w:w="2660" w:type="dxa"/>
          </w:tcPr>
          <w:p w:rsidR="006D0ACF" w:rsidRDefault="00C41C0F" w:rsidP="00C41C0F">
            <w:r>
              <w:rPr>
                <w:noProof/>
              </w:rPr>
              <w:drawing>
                <wp:inline distT="0" distB="0" distL="0" distR="0" wp14:anchorId="7ACB89AD" wp14:editId="6D6D9A5F">
                  <wp:extent cx="1333500" cy="1333500"/>
                  <wp:effectExtent l="0" t="0" r="0" b="0"/>
                  <wp:docPr id="3" name="Grafik 3" descr="M:\DATEN\GP\Media Relations\Vorgänge\2016_03_04_BPK\2016_03_04_bpk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Media Relations\Vorgänge\2016_03_04_BPK\2016_03_04_bpk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6D0ACF" w:rsidRDefault="006D0ACF" w:rsidP="003F73D0">
            <w:r>
              <w:t xml:space="preserve">Bild3.jpg: </w:t>
            </w:r>
            <w:r w:rsidR="003F73D0">
              <w:t xml:space="preserve">Schuler steigerte die Investitionen – zum Beispiel für den Neubau am Stammsitz in Göppingen – um über 40 Prozent auf </w:t>
            </w:r>
            <w:bookmarkStart w:id="0" w:name="_GoBack"/>
            <w:r w:rsidR="00DD41C4">
              <w:t>38,2</w:t>
            </w:r>
            <w:r w:rsidR="003F73D0">
              <w:t xml:space="preserve"> </w:t>
            </w:r>
            <w:bookmarkEnd w:id="0"/>
            <w:r w:rsidR="003F73D0">
              <w:t>(26,5) Mio. Euro.</w:t>
            </w:r>
          </w:p>
        </w:tc>
      </w:tr>
    </w:tbl>
    <w:p w:rsidR="006D0ACF" w:rsidRPr="006D0ACF" w:rsidRDefault="006D0ACF" w:rsidP="006D0ACF">
      <w:pPr>
        <w:rPr>
          <w:i/>
        </w:rPr>
      </w:pPr>
      <w:r w:rsidRPr="006D0ACF">
        <w:rPr>
          <w:i/>
        </w:rPr>
        <w:t>Als Bildquelle bitte Schuler angeben.</w:t>
      </w:r>
    </w:p>
    <w:p w:rsidR="006D0ACF" w:rsidRPr="006D0ACF" w:rsidRDefault="006D0ACF" w:rsidP="006D0ACF"/>
    <w:p w:rsidR="00DF4D75" w:rsidRDefault="00DF4D75">
      <w:pPr>
        <w:spacing w:line="240" w:lineRule="auto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5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</w:t>
      </w:r>
      <w:r w:rsidR="00D73325">
        <w:rPr>
          <w:i/>
        </w:rPr>
        <w:t>ehr und die Großrohr-Fertigung.</w:t>
      </w:r>
      <w:r w:rsidRPr="001B1B07">
        <w:rPr>
          <w:i/>
        </w:rPr>
        <w:t xml:space="preserve"> </w:t>
      </w:r>
      <w:r w:rsidRPr="00AF64B9">
        <w:rPr>
          <w:i/>
        </w:rPr>
        <w:t xml:space="preserve">Im Geschäftsjahr </w:t>
      </w:r>
      <w:r w:rsidR="00E41AB6">
        <w:rPr>
          <w:i/>
        </w:rPr>
        <w:t>201</w:t>
      </w:r>
      <w:r w:rsidR="008618F3">
        <w:rPr>
          <w:i/>
        </w:rPr>
        <w:t>5</w:t>
      </w:r>
      <w:r w:rsidRPr="00AF64B9">
        <w:rPr>
          <w:i/>
        </w:rPr>
        <w:t xml:space="preserve"> (</w:t>
      </w:r>
      <w:r w:rsidR="00E41AB6">
        <w:rPr>
          <w:i/>
        </w:rPr>
        <w:t>31.12</w:t>
      </w:r>
      <w:r w:rsidRPr="00AF64B9">
        <w:rPr>
          <w:i/>
        </w:rPr>
        <w:t>.) erzi</w:t>
      </w:r>
      <w:r w:rsidR="0013722E">
        <w:rPr>
          <w:i/>
        </w:rPr>
        <w:t>elte Schuler einen Umsatz von 1,</w:t>
      </w:r>
      <w:r w:rsidR="008618F3">
        <w:rPr>
          <w:i/>
        </w:rPr>
        <w:t>20</w:t>
      </w:r>
      <w:r w:rsidR="00D73325">
        <w:rPr>
          <w:i/>
        </w:rPr>
        <w:t xml:space="preserve"> </w:t>
      </w:r>
      <w:r w:rsidR="00E41AB6">
        <w:rPr>
          <w:i/>
        </w:rPr>
        <w:t xml:space="preserve">Milliarden </w:t>
      </w:r>
      <w:r w:rsidRPr="00AF64B9">
        <w:rPr>
          <w:i/>
        </w:rPr>
        <w:t>Euro.</w:t>
      </w:r>
      <w:r w:rsidR="00E41AB6">
        <w:rPr>
          <w:i/>
        </w:rPr>
        <w:t xml:space="preserve"> </w:t>
      </w:r>
      <w:r w:rsidRPr="001B1B07">
        <w:rPr>
          <w:i/>
        </w:rPr>
        <w:t>Schuler</w:t>
      </w:r>
      <w:r w:rsidR="008618F3">
        <w:rPr>
          <w:i/>
        </w:rPr>
        <w:t xml:space="preserve"> ist in 40 Ländern mit rund 5.20</w:t>
      </w:r>
      <w:r w:rsidRPr="001B1B07">
        <w:rPr>
          <w:i/>
        </w:rPr>
        <w:t>0 Mitarbeitern präsent und gehört mehrheitlich zur österreichischen ANDRITZ</w:t>
      </w:r>
      <w:r w:rsidR="005900C7">
        <w:rPr>
          <w:i/>
        </w:rPr>
        <w:t xml:space="preserve"> </w:t>
      </w:r>
      <w:r w:rsidRPr="001B1B07">
        <w:rPr>
          <w:i/>
        </w:rPr>
        <w:t>Gruppe.</w:t>
      </w:r>
      <w:r w:rsidR="005833D5" w:rsidRPr="00AF64B9">
        <w:t xml:space="preserve"> </w:t>
      </w:r>
    </w:p>
    <w:sectPr w:rsidR="005833D5" w:rsidRPr="00C82B81" w:rsidSect="007E160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B5" w:rsidRDefault="006C42B5" w:rsidP="007E132D">
      <w:r>
        <w:separator/>
      </w:r>
    </w:p>
    <w:p w:rsidR="006C42B5" w:rsidRDefault="006C42B5" w:rsidP="007E132D"/>
  </w:endnote>
  <w:endnote w:type="continuationSeparator" w:id="0">
    <w:p w:rsidR="006C42B5" w:rsidRDefault="006C42B5" w:rsidP="007E132D">
      <w:r>
        <w:continuationSeparator/>
      </w:r>
    </w:p>
    <w:p w:rsidR="006C42B5" w:rsidRDefault="006C42B5" w:rsidP="007E132D"/>
  </w:endnote>
  <w:endnote w:type="continuationNotice" w:id="1">
    <w:p w:rsidR="006C42B5" w:rsidRDefault="006C42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9B7172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9B7172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9B7172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9B7172" w:rsidRPr="007E1606">
            <w:rPr>
              <w:rFonts w:eastAsia="Calibri"/>
              <w:noProof/>
            </w:rPr>
            <w:t xml:space="preserve">Seite </w:t>
          </w:r>
          <w:r w:rsidR="009B7172">
            <w:rPr>
              <w:rFonts w:eastAsia="Calibri"/>
              <w:noProof/>
            </w:rPr>
            <w:t>5</w:t>
          </w:r>
          <w:r w:rsidR="009B7172" w:rsidRPr="007E1606">
            <w:rPr>
              <w:rFonts w:eastAsia="Calibri"/>
              <w:noProof/>
            </w:rPr>
            <w:t xml:space="preserve"> von </w:t>
          </w:r>
          <w:r w:rsidR="009B7172">
            <w:rPr>
              <w:rFonts w:eastAsia="Calibri"/>
              <w:noProof/>
            </w:rPr>
            <w:t>5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B5" w:rsidRDefault="006C42B5" w:rsidP="007E132D">
      <w:r>
        <w:separator/>
      </w:r>
    </w:p>
    <w:p w:rsidR="006C42B5" w:rsidRDefault="006C42B5" w:rsidP="007E132D"/>
  </w:footnote>
  <w:footnote w:type="continuationSeparator" w:id="0">
    <w:p w:rsidR="006C42B5" w:rsidRDefault="006C42B5" w:rsidP="007E132D">
      <w:r>
        <w:continuationSeparator/>
      </w:r>
    </w:p>
    <w:p w:rsidR="006C42B5" w:rsidRDefault="006C42B5" w:rsidP="007E132D"/>
  </w:footnote>
  <w:footnote w:type="continuationNotice" w:id="1">
    <w:p w:rsidR="006C42B5" w:rsidRDefault="006C42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14FB535F" wp14:editId="08BA32A4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6A3569DC" wp14:editId="1E2B042D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2896675" wp14:editId="6C2C3BAA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7F9EC8E" wp14:editId="49F507D6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D8A68D4"/>
    <w:multiLevelType w:val="hybridMultilevel"/>
    <w:tmpl w:val="84287694"/>
    <w:lvl w:ilvl="0" w:tplc="C4B4B0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94E09"/>
    <w:multiLevelType w:val="hybridMultilevel"/>
    <w:tmpl w:val="B7082D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B6B24A9"/>
    <w:multiLevelType w:val="hybridMultilevel"/>
    <w:tmpl w:val="69BCED74"/>
    <w:lvl w:ilvl="0" w:tplc="8F0E8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F37E3"/>
    <w:multiLevelType w:val="hybridMultilevel"/>
    <w:tmpl w:val="8474D11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4"/>
  </w:num>
  <w:num w:numId="12">
    <w:abstractNumId w:val="13"/>
  </w:num>
  <w:num w:numId="13">
    <w:abstractNumId w:val="3"/>
  </w:num>
  <w:num w:numId="14">
    <w:abstractNumId w:val="1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6E"/>
    <w:rsid w:val="00003CBE"/>
    <w:rsid w:val="00004C7F"/>
    <w:rsid w:val="00020745"/>
    <w:rsid w:val="00026F9E"/>
    <w:rsid w:val="00031750"/>
    <w:rsid w:val="00033BD2"/>
    <w:rsid w:val="00044918"/>
    <w:rsid w:val="00045F35"/>
    <w:rsid w:val="00061C4B"/>
    <w:rsid w:val="000716BA"/>
    <w:rsid w:val="000731DE"/>
    <w:rsid w:val="000809FF"/>
    <w:rsid w:val="00086F40"/>
    <w:rsid w:val="000A52A8"/>
    <w:rsid w:val="000B704A"/>
    <w:rsid w:val="000C0CAD"/>
    <w:rsid w:val="000D496E"/>
    <w:rsid w:val="000E228F"/>
    <w:rsid w:val="000E33AE"/>
    <w:rsid w:val="000F2F77"/>
    <w:rsid w:val="00102187"/>
    <w:rsid w:val="00123E82"/>
    <w:rsid w:val="00130A5F"/>
    <w:rsid w:val="001343EF"/>
    <w:rsid w:val="00136218"/>
    <w:rsid w:val="00136E90"/>
    <w:rsid w:val="0013722E"/>
    <w:rsid w:val="00137A7A"/>
    <w:rsid w:val="00141274"/>
    <w:rsid w:val="00152C69"/>
    <w:rsid w:val="001630AC"/>
    <w:rsid w:val="001631E1"/>
    <w:rsid w:val="0016339C"/>
    <w:rsid w:val="0016495A"/>
    <w:rsid w:val="00173722"/>
    <w:rsid w:val="0017697C"/>
    <w:rsid w:val="0017745F"/>
    <w:rsid w:val="00196EAD"/>
    <w:rsid w:val="001B1B07"/>
    <w:rsid w:val="001C1FA2"/>
    <w:rsid w:val="001C3EE2"/>
    <w:rsid w:val="001C49CA"/>
    <w:rsid w:val="001E0C3C"/>
    <w:rsid w:val="001F02CA"/>
    <w:rsid w:val="001F6280"/>
    <w:rsid w:val="002077B7"/>
    <w:rsid w:val="00212513"/>
    <w:rsid w:val="00215C8A"/>
    <w:rsid w:val="002168F2"/>
    <w:rsid w:val="002315E0"/>
    <w:rsid w:val="002350D8"/>
    <w:rsid w:val="0024368D"/>
    <w:rsid w:val="002712C2"/>
    <w:rsid w:val="00271690"/>
    <w:rsid w:val="002A1D04"/>
    <w:rsid w:val="002A3A54"/>
    <w:rsid w:val="002A42B6"/>
    <w:rsid w:val="002A4B0E"/>
    <w:rsid w:val="002B391B"/>
    <w:rsid w:val="002B41E8"/>
    <w:rsid w:val="002D1BC7"/>
    <w:rsid w:val="002F5BC5"/>
    <w:rsid w:val="0031052B"/>
    <w:rsid w:val="003230D4"/>
    <w:rsid w:val="00323555"/>
    <w:rsid w:val="00337A1F"/>
    <w:rsid w:val="003428AB"/>
    <w:rsid w:val="00363740"/>
    <w:rsid w:val="00364957"/>
    <w:rsid w:val="00365A9E"/>
    <w:rsid w:val="003728F6"/>
    <w:rsid w:val="00373C01"/>
    <w:rsid w:val="00377DED"/>
    <w:rsid w:val="003B7775"/>
    <w:rsid w:val="003C626A"/>
    <w:rsid w:val="003D76C7"/>
    <w:rsid w:val="003E30C0"/>
    <w:rsid w:val="003F0681"/>
    <w:rsid w:val="003F17F1"/>
    <w:rsid w:val="003F6888"/>
    <w:rsid w:val="003F73D0"/>
    <w:rsid w:val="004026E0"/>
    <w:rsid w:val="00403EFF"/>
    <w:rsid w:val="004107D4"/>
    <w:rsid w:val="00431EBF"/>
    <w:rsid w:val="004355F7"/>
    <w:rsid w:val="0043797F"/>
    <w:rsid w:val="00443C29"/>
    <w:rsid w:val="0047180C"/>
    <w:rsid w:val="00476782"/>
    <w:rsid w:val="00476D9C"/>
    <w:rsid w:val="00485C6B"/>
    <w:rsid w:val="004B64DD"/>
    <w:rsid w:val="004C4B30"/>
    <w:rsid w:val="004C697D"/>
    <w:rsid w:val="004D48E7"/>
    <w:rsid w:val="004D76DD"/>
    <w:rsid w:val="00507599"/>
    <w:rsid w:val="00530098"/>
    <w:rsid w:val="00533491"/>
    <w:rsid w:val="00552A9D"/>
    <w:rsid w:val="005547DF"/>
    <w:rsid w:val="00556DD6"/>
    <w:rsid w:val="005574CD"/>
    <w:rsid w:val="0056768B"/>
    <w:rsid w:val="005700A9"/>
    <w:rsid w:val="00575FA0"/>
    <w:rsid w:val="005833D5"/>
    <w:rsid w:val="005900C7"/>
    <w:rsid w:val="00595D96"/>
    <w:rsid w:val="005C0BBB"/>
    <w:rsid w:val="005C6AE3"/>
    <w:rsid w:val="005D20C1"/>
    <w:rsid w:val="005F6D99"/>
    <w:rsid w:val="00601238"/>
    <w:rsid w:val="0060142A"/>
    <w:rsid w:val="00646707"/>
    <w:rsid w:val="0065451D"/>
    <w:rsid w:val="00654B60"/>
    <w:rsid w:val="00660D47"/>
    <w:rsid w:val="00671E3C"/>
    <w:rsid w:val="00673BF3"/>
    <w:rsid w:val="00674EF3"/>
    <w:rsid w:val="00677EBB"/>
    <w:rsid w:val="006813B8"/>
    <w:rsid w:val="0068251B"/>
    <w:rsid w:val="006848FF"/>
    <w:rsid w:val="00687868"/>
    <w:rsid w:val="00692415"/>
    <w:rsid w:val="006A31D9"/>
    <w:rsid w:val="006A659E"/>
    <w:rsid w:val="006A7F52"/>
    <w:rsid w:val="006C42B5"/>
    <w:rsid w:val="006C730C"/>
    <w:rsid w:val="006D0ACF"/>
    <w:rsid w:val="006D7242"/>
    <w:rsid w:val="006E3C9B"/>
    <w:rsid w:val="006E632D"/>
    <w:rsid w:val="006F407F"/>
    <w:rsid w:val="007007EC"/>
    <w:rsid w:val="00714E5C"/>
    <w:rsid w:val="0072042B"/>
    <w:rsid w:val="00733AAF"/>
    <w:rsid w:val="00736F21"/>
    <w:rsid w:val="007826E4"/>
    <w:rsid w:val="00784E5A"/>
    <w:rsid w:val="007928F0"/>
    <w:rsid w:val="00794AEE"/>
    <w:rsid w:val="007B01F1"/>
    <w:rsid w:val="007B0BF4"/>
    <w:rsid w:val="007B3C68"/>
    <w:rsid w:val="007B7792"/>
    <w:rsid w:val="007C16F5"/>
    <w:rsid w:val="007D10BF"/>
    <w:rsid w:val="007D508E"/>
    <w:rsid w:val="007D76D1"/>
    <w:rsid w:val="007E132D"/>
    <w:rsid w:val="007E1606"/>
    <w:rsid w:val="007F4512"/>
    <w:rsid w:val="00800FC9"/>
    <w:rsid w:val="0082176E"/>
    <w:rsid w:val="00821B54"/>
    <w:rsid w:val="00821E5D"/>
    <w:rsid w:val="00822597"/>
    <w:rsid w:val="008258E8"/>
    <w:rsid w:val="00825A16"/>
    <w:rsid w:val="00830575"/>
    <w:rsid w:val="008334D5"/>
    <w:rsid w:val="00840BFE"/>
    <w:rsid w:val="008618F3"/>
    <w:rsid w:val="00865B83"/>
    <w:rsid w:val="00870B93"/>
    <w:rsid w:val="008718D2"/>
    <w:rsid w:val="0087295F"/>
    <w:rsid w:val="008746C7"/>
    <w:rsid w:val="00876D34"/>
    <w:rsid w:val="00876E6E"/>
    <w:rsid w:val="00877DC8"/>
    <w:rsid w:val="00885551"/>
    <w:rsid w:val="00894865"/>
    <w:rsid w:val="00896BEF"/>
    <w:rsid w:val="008C6578"/>
    <w:rsid w:val="008D1374"/>
    <w:rsid w:val="008D67FA"/>
    <w:rsid w:val="008D6D32"/>
    <w:rsid w:val="008E1F8F"/>
    <w:rsid w:val="008F5E25"/>
    <w:rsid w:val="009060ED"/>
    <w:rsid w:val="00920948"/>
    <w:rsid w:val="00926076"/>
    <w:rsid w:val="00941203"/>
    <w:rsid w:val="00957449"/>
    <w:rsid w:val="00960075"/>
    <w:rsid w:val="00961469"/>
    <w:rsid w:val="00975A13"/>
    <w:rsid w:val="00983A2F"/>
    <w:rsid w:val="009A680E"/>
    <w:rsid w:val="009B2577"/>
    <w:rsid w:val="009B3EB7"/>
    <w:rsid w:val="009B52FC"/>
    <w:rsid w:val="009B7172"/>
    <w:rsid w:val="009E26A3"/>
    <w:rsid w:val="009E2F4C"/>
    <w:rsid w:val="009F65F3"/>
    <w:rsid w:val="00A0214C"/>
    <w:rsid w:val="00A15FD6"/>
    <w:rsid w:val="00A166C4"/>
    <w:rsid w:val="00A31D72"/>
    <w:rsid w:val="00A32B85"/>
    <w:rsid w:val="00A35BFC"/>
    <w:rsid w:val="00A37F3D"/>
    <w:rsid w:val="00A46561"/>
    <w:rsid w:val="00A500A4"/>
    <w:rsid w:val="00A804A0"/>
    <w:rsid w:val="00A86ACD"/>
    <w:rsid w:val="00A9156A"/>
    <w:rsid w:val="00A91986"/>
    <w:rsid w:val="00A93519"/>
    <w:rsid w:val="00A94C21"/>
    <w:rsid w:val="00AC55D1"/>
    <w:rsid w:val="00AC6510"/>
    <w:rsid w:val="00AE3AFF"/>
    <w:rsid w:val="00AF2A76"/>
    <w:rsid w:val="00AF2D43"/>
    <w:rsid w:val="00AF64B9"/>
    <w:rsid w:val="00AF64C6"/>
    <w:rsid w:val="00B01B58"/>
    <w:rsid w:val="00B06BC4"/>
    <w:rsid w:val="00B206B1"/>
    <w:rsid w:val="00B23715"/>
    <w:rsid w:val="00B307A6"/>
    <w:rsid w:val="00B44425"/>
    <w:rsid w:val="00B473D6"/>
    <w:rsid w:val="00B47659"/>
    <w:rsid w:val="00B55136"/>
    <w:rsid w:val="00B762C9"/>
    <w:rsid w:val="00BA09F2"/>
    <w:rsid w:val="00BA499E"/>
    <w:rsid w:val="00C052F5"/>
    <w:rsid w:val="00C41C0F"/>
    <w:rsid w:val="00C47DAA"/>
    <w:rsid w:val="00C72CD3"/>
    <w:rsid w:val="00C76E68"/>
    <w:rsid w:val="00C827F0"/>
    <w:rsid w:val="00C82B81"/>
    <w:rsid w:val="00C85C10"/>
    <w:rsid w:val="00C860F0"/>
    <w:rsid w:val="00C96DAD"/>
    <w:rsid w:val="00CB2B5C"/>
    <w:rsid w:val="00CB67B8"/>
    <w:rsid w:val="00CC7CCA"/>
    <w:rsid w:val="00CD3AA7"/>
    <w:rsid w:val="00CD5930"/>
    <w:rsid w:val="00D14566"/>
    <w:rsid w:val="00D15E35"/>
    <w:rsid w:val="00D16703"/>
    <w:rsid w:val="00D20AFE"/>
    <w:rsid w:val="00D36969"/>
    <w:rsid w:val="00D4577B"/>
    <w:rsid w:val="00D55C5C"/>
    <w:rsid w:val="00D5679F"/>
    <w:rsid w:val="00D70424"/>
    <w:rsid w:val="00D73325"/>
    <w:rsid w:val="00D76894"/>
    <w:rsid w:val="00D82AE7"/>
    <w:rsid w:val="00DB3F3F"/>
    <w:rsid w:val="00DB73FC"/>
    <w:rsid w:val="00DC5C7D"/>
    <w:rsid w:val="00DC5DAA"/>
    <w:rsid w:val="00DC7EF7"/>
    <w:rsid w:val="00DD16C5"/>
    <w:rsid w:val="00DD41C4"/>
    <w:rsid w:val="00DE35EB"/>
    <w:rsid w:val="00DE6930"/>
    <w:rsid w:val="00DF4D75"/>
    <w:rsid w:val="00E10200"/>
    <w:rsid w:val="00E10CA8"/>
    <w:rsid w:val="00E207BB"/>
    <w:rsid w:val="00E2304D"/>
    <w:rsid w:val="00E23EF1"/>
    <w:rsid w:val="00E26828"/>
    <w:rsid w:val="00E3363B"/>
    <w:rsid w:val="00E36721"/>
    <w:rsid w:val="00E41AB6"/>
    <w:rsid w:val="00E50F8F"/>
    <w:rsid w:val="00E5769E"/>
    <w:rsid w:val="00E6320B"/>
    <w:rsid w:val="00E753DF"/>
    <w:rsid w:val="00E85A97"/>
    <w:rsid w:val="00E90330"/>
    <w:rsid w:val="00E94A8B"/>
    <w:rsid w:val="00E94CAA"/>
    <w:rsid w:val="00EA0877"/>
    <w:rsid w:val="00EA7DC3"/>
    <w:rsid w:val="00EB1C2E"/>
    <w:rsid w:val="00EC0313"/>
    <w:rsid w:val="00EC73C7"/>
    <w:rsid w:val="00ED091A"/>
    <w:rsid w:val="00ED444E"/>
    <w:rsid w:val="00F002F6"/>
    <w:rsid w:val="00F23257"/>
    <w:rsid w:val="00F23AAD"/>
    <w:rsid w:val="00F44765"/>
    <w:rsid w:val="00F5073A"/>
    <w:rsid w:val="00F53696"/>
    <w:rsid w:val="00F5709F"/>
    <w:rsid w:val="00F654EB"/>
    <w:rsid w:val="00F733D5"/>
    <w:rsid w:val="00F7676C"/>
    <w:rsid w:val="00FA3849"/>
    <w:rsid w:val="00FC0D07"/>
    <w:rsid w:val="00FC33E5"/>
    <w:rsid w:val="00FC7FFD"/>
    <w:rsid w:val="00FD1AC7"/>
    <w:rsid w:val="00FE2FB7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StandardWeb">
    <w:name w:val="Normal (Web)"/>
    <w:basedOn w:val="Standard"/>
    <w:uiPriority w:val="99"/>
    <w:unhideWhenUsed/>
    <w:rsid w:val="00E50F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rsid w:val="00DF4D7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F4D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F4D75"/>
    <w:rPr>
      <w:rFonts w:ascii="Calibri" w:hAnsi="Calibri"/>
    </w:rPr>
  </w:style>
  <w:style w:type="character" w:styleId="BesuchterHyperlink">
    <w:name w:val="FollowedHyperlink"/>
    <w:basedOn w:val="Absatz-Standardschriftart"/>
    <w:semiHidden/>
    <w:unhideWhenUsed/>
    <w:rsid w:val="006D0A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StandardWeb">
    <w:name w:val="Normal (Web)"/>
    <w:basedOn w:val="Standard"/>
    <w:uiPriority w:val="99"/>
    <w:unhideWhenUsed/>
    <w:rsid w:val="00E50F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rsid w:val="00DF4D7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F4D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F4D75"/>
    <w:rPr>
      <w:rFonts w:ascii="Calibri" w:hAnsi="Calibri"/>
    </w:rPr>
  </w:style>
  <w:style w:type="character" w:styleId="BesuchterHyperlink">
    <w:name w:val="FollowedHyperlink"/>
    <w:basedOn w:val="Absatz-Standardschriftart"/>
    <w:semiHidden/>
    <w:unhideWhenUsed/>
    <w:rsid w:val="006D0A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2332">
                  <w:marLeft w:val="0"/>
                  <w:marRight w:val="0"/>
                  <w:marTop w:val="375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2543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/investor_relations/finanzbericht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ulergroup.com" TargetMode="External"/><Relationship Id="rId10" Type="http://schemas.openxmlformats.org/officeDocument/2006/relationships/hyperlink" Target="http://www.schulergroup.com/pr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Hans.Obermeier@schulergroup.com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96E6-6F36-4BD8-9BD5-D4337439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7337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scherren</cp:lastModifiedBy>
  <cp:revision>6</cp:revision>
  <cp:lastPrinted>2016-03-03T15:26:00Z</cp:lastPrinted>
  <dcterms:created xsi:type="dcterms:W3CDTF">2016-03-03T11:49:00Z</dcterms:created>
  <dcterms:modified xsi:type="dcterms:W3CDTF">2016-03-03T15:26:00Z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497939297</vt:i4>
  </property>
  <property fmtid="{D5CDD505-2E9C-101B-9397-08002B2CF9AE}" pid="4" name="_EmailSubject">
    <vt:lpwstr>PI</vt:lpwstr>
  </property>
  <property fmtid="{D5CDD505-2E9C-101B-9397-08002B2CF9AE}" pid="5" name="_AuthorEmail">
    <vt:lpwstr>Hans.Obermeier@schulergroup.com</vt:lpwstr>
  </property>
  <property fmtid="{D5CDD505-2E9C-101B-9397-08002B2CF9AE}" pid="6" name="_AuthorEmailDisplayName">
    <vt:lpwstr>Obermeier, Hans &lt;Hans.Obermeier@schulergroup.com&gt;</vt:lpwstr>
  </property>
  <property fmtid="{D5CDD505-2E9C-101B-9397-08002B2CF9AE}" pid="7" name="_PreviousAdHocReviewCycleID">
    <vt:i4>-1587044102</vt:i4>
  </property>
</Properties>
</file>