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0B4D7D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0B4D7D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ED5136" w:rsidP="00365A9E">
      <w:pPr>
        <w:pStyle w:val="berschrift1"/>
        <w:rPr>
          <w:sz w:val="2"/>
        </w:rPr>
      </w:pPr>
      <w:r>
        <w:t xml:space="preserve">Neue Baureihe </w:t>
      </w:r>
      <w:r w:rsidR="00B17869">
        <w:t>von</w:t>
      </w:r>
      <w:r>
        <w:t xml:space="preserve"> hydraulischen Pressen</w:t>
      </w:r>
    </w:p>
    <w:p w:rsidR="006A31D9" w:rsidRDefault="0045614C" w:rsidP="00365A9E">
      <w:pPr>
        <w:pStyle w:val="berschrift2"/>
      </w:pPr>
      <w:r>
        <w:t xml:space="preserve">Für kleine und mittlere Unternehmen bietet Schuler die </w:t>
      </w:r>
      <w:r w:rsidR="00ED5136">
        <w:t xml:space="preserve">HPX-Serie </w:t>
      </w:r>
      <w:r>
        <w:br/>
        <w:t>mit 2</w:t>
      </w:r>
      <w:r w:rsidR="00CA6B70">
        <w:t>.</w:t>
      </w:r>
      <w:r>
        <w:t>50</w:t>
      </w:r>
      <w:r w:rsidR="00CA6B70">
        <w:t>0</w:t>
      </w:r>
      <w:r>
        <w:t xml:space="preserve"> bis </w:t>
      </w:r>
      <w:r w:rsidR="00CA6B70">
        <w:t>8.000 Kilonewton</w:t>
      </w:r>
      <w:r>
        <w:t xml:space="preserve"> Presskraft zu einem günstigen Preis</w:t>
      </w:r>
    </w:p>
    <w:p w:rsidR="00476D9C" w:rsidRPr="00476D9C" w:rsidRDefault="00476D9C" w:rsidP="00476D9C"/>
    <w:p w:rsidR="003148B8" w:rsidRDefault="00BB5286" w:rsidP="00CE26DA">
      <w:proofErr w:type="spellStart"/>
      <w:r>
        <w:rPr>
          <w:i/>
        </w:rPr>
        <w:t>Waghäusel</w:t>
      </w:r>
      <w:proofErr w:type="spellEnd"/>
      <w:r w:rsidR="00C82B81">
        <w:rPr>
          <w:i/>
        </w:rPr>
        <w:t xml:space="preserve">, </w:t>
      </w:r>
      <w:r w:rsidR="000B4D7D">
        <w:rPr>
          <w:i/>
        </w:rPr>
        <w:t>1</w:t>
      </w:r>
      <w:r>
        <w:rPr>
          <w:i/>
        </w:rPr>
        <w:t>0</w:t>
      </w:r>
      <w:r w:rsidR="005833D5">
        <w:rPr>
          <w:i/>
        </w:rPr>
        <w:t>.</w:t>
      </w:r>
      <w:r>
        <w:rPr>
          <w:i/>
        </w:rPr>
        <w:t>12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3148B8">
        <w:t xml:space="preserve">Mit der Baureihe HPX </w:t>
      </w:r>
      <w:r w:rsidR="00ED5136">
        <w:t xml:space="preserve">hat </w:t>
      </w:r>
      <w:r w:rsidR="003148B8">
        <w:t>Schuler nun sein Produktspektrum an hydraulischen Anlagen im Presskraftbereich von 2.500 bis 8.000 Kilonewton</w:t>
      </w:r>
      <w:r w:rsidR="00ED5136" w:rsidRPr="00ED5136">
        <w:t xml:space="preserve"> </w:t>
      </w:r>
      <w:r w:rsidR="00ED5136">
        <w:t>erweitert</w:t>
      </w:r>
      <w:r w:rsidR="003148B8">
        <w:t>.</w:t>
      </w:r>
      <w:r w:rsidR="00D748AF">
        <w:t xml:space="preserve"> </w:t>
      </w:r>
      <w:r w:rsidR="002D2850">
        <w:t xml:space="preserve">Das X steht dabei für Vielseitigkeit: Die neuen Modelle ermöglichen die effiziente Serienfertigung der verschiedensten Blech-Produkte von der Platine bis zum fertigen Teil – auch aus Aluminium oder Edelstahl. </w:t>
      </w:r>
      <w:r w:rsidR="00E54350">
        <w:t xml:space="preserve">Auf einer Hausmesse am Standort </w:t>
      </w:r>
      <w:proofErr w:type="spellStart"/>
      <w:r w:rsidR="00E54350">
        <w:t>Waghäusel</w:t>
      </w:r>
      <w:proofErr w:type="spellEnd"/>
      <w:r w:rsidR="00E54350">
        <w:t xml:space="preserve"> hat Schuler die Baureihe</w:t>
      </w:r>
      <w:r w:rsidR="00075A45">
        <w:t xml:space="preserve"> </w:t>
      </w:r>
      <w:r w:rsidR="00A327EE">
        <w:t xml:space="preserve">erstmals </w:t>
      </w:r>
      <w:r w:rsidR="0076293E">
        <w:t>vergangene Woche</w:t>
      </w:r>
      <w:r w:rsidR="00062CBB">
        <w:t xml:space="preserve"> </w:t>
      </w:r>
      <w:r w:rsidR="00A327EE">
        <w:t xml:space="preserve">vor rund 50 Besuchern </w:t>
      </w:r>
      <w:r w:rsidR="00E54350">
        <w:t>öffentlich vorgestellt.</w:t>
      </w:r>
    </w:p>
    <w:p w:rsidR="00942828" w:rsidRDefault="00942828" w:rsidP="00CE26DA"/>
    <w:p w:rsidR="007E3B4F" w:rsidRDefault="002D2850" w:rsidP="007E3B4F">
      <w:r>
        <w:t xml:space="preserve">„Jetzt steht auch für kleine und mittlere Unternehmen ein Pressenkonzept zur Verfügung, das auf ihren Bedarf zugeschnitten ist“, sagte Geschäftsführer Dr. Martin </w:t>
      </w:r>
      <w:proofErr w:type="spellStart"/>
      <w:r>
        <w:t>Habert</w:t>
      </w:r>
      <w:proofErr w:type="spellEnd"/>
      <w:r>
        <w:t>. „Durch neue Wege in Standardisierung und Beschaffung können wir die HPX-Pressen kostengünstig realisieren.“ Die neuen Modelle beruhen auf einem sta</w:t>
      </w:r>
      <w:r w:rsidR="007A6837">
        <w:t>ndardisierten Maschinenkonzept</w:t>
      </w:r>
      <w:r w:rsidR="009E37CF">
        <w:t>, das</w:t>
      </w:r>
      <w:r w:rsidR="007A6837">
        <w:t xml:space="preserve"> nicht nur zu einem attraktiven Preis-Leistungs-Verhältnis</w:t>
      </w:r>
      <w:r w:rsidR="009E37CF">
        <w:t xml:space="preserve"> führt</w:t>
      </w:r>
      <w:r w:rsidR="007A6837">
        <w:t xml:space="preserve">, sondern auch </w:t>
      </w:r>
      <w:r>
        <w:t xml:space="preserve">zu Lieferzeiten von nur sechs Monaten sowie einer schnellen Montage und </w:t>
      </w:r>
      <w:r w:rsidR="007A6837">
        <w:t>Inbetriebnahme</w:t>
      </w:r>
      <w:r>
        <w:t>.</w:t>
      </w:r>
      <w:r w:rsidR="00A327EE">
        <w:t xml:space="preserve"> </w:t>
      </w:r>
    </w:p>
    <w:p w:rsidR="007E3B4F" w:rsidRDefault="007E3B4F" w:rsidP="007E3B4F"/>
    <w:p w:rsidR="002D2850" w:rsidRDefault="007E3B4F" w:rsidP="002D2850">
      <w:r>
        <w:t>HPX-Pressen</w:t>
      </w:r>
      <w:r w:rsidR="00A327EE">
        <w:t xml:space="preserve"> eignen sich besonders für kleine und mittlere Losgrößen von Bauteilen mit hohen Umformwegen.</w:t>
      </w:r>
      <w:r w:rsidRPr="007E3B4F">
        <w:t xml:space="preserve"> </w:t>
      </w:r>
      <w:r>
        <w:t xml:space="preserve">Die gezeigte Maschine mit einer Presskraft von 4.000 Kilonewton ist bereits verkauft, </w:t>
      </w:r>
      <w:r w:rsidR="006A3333">
        <w:t xml:space="preserve">auf </w:t>
      </w:r>
      <w:r>
        <w:t>eine</w:t>
      </w:r>
      <w:r w:rsidR="006A3333">
        <w:t>r</w:t>
      </w:r>
      <w:r>
        <w:t xml:space="preserve"> </w:t>
      </w:r>
      <w:r w:rsidR="006A3333">
        <w:t xml:space="preserve">weiteren </w:t>
      </w:r>
      <w:r>
        <w:lastRenderedPageBreak/>
        <w:t xml:space="preserve">Anlage identischer Bauart </w:t>
      </w:r>
      <w:r w:rsidR="006A3333">
        <w:t>produziert der Kunde schon Teile</w:t>
      </w:r>
      <w:r>
        <w:t xml:space="preserve">. </w:t>
      </w:r>
      <w:r w:rsidR="001A4557">
        <w:t>Und f</w:t>
      </w:r>
      <w:r>
        <w:t>ür eine HPX-Presse mit 5.000 Kilonewton Presskraft liegt eine Bestellung vor.</w:t>
      </w:r>
    </w:p>
    <w:p w:rsidR="002D2850" w:rsidRDefault="002D2850" w:rsidP="002D2850"/>
    <w:p w:rsidR="00173E05" w:rsidRDefault="00A34980" w:rsidP="00173E05">
      <w:pPr>
        <w:pStyle w:val="berschrift2"/>
      </w:pPr>
      <w:r>
        <w:t xml:space="preserve">Exakte </w:t>
      </w:r>
      <w:r w:rsidR="00E46AD4">
        <w:t>Vierspindel-Schnittschlagdämpfung</w:t>
      </w:r>
    </w:p>
    <w:p w:rsidR="00A327EE" w:rsidRDefault="009E37CF" w:rsidP="002D2850">
      <w:r>
        <w:t>Um eine h</w:t>
      </w:r>
      <w:r w:rsidRPr="0023237A">
        <w:t>ohe Prozesssicherheit beim Schneiden und Tiefziehen</w:t>
      </w:r>
      <w:r>
        <w:t xml:space="preserve"> zu erreichen, verfügt die Baureihe</w:t>
      </w:r>
      <w:r w:rsidR="00A327EE">
        <w:t xml:space="preserve"> optional</w:t>
      </w:r>
      <w:r>
        <w:t xml:space="preserve"> über eine </w:t>
      </w:r>
      <w:r w:rsidRPr="0023237A">
        <w:t xml:space="preserve">exakt und reproduzierbar einstellbare Vierspindel-Schnittschlagdämpfung </w:t>
      </w:r>
      <w:r>
        <w:t xml:space="preserve">sowie </w:t>
      </w:r>
      <w:r w:rsidRPr="0023237A">
        <w:t>ein besonders steif ausgeführtes</w:t>
      </w:r>
      <w:r>
        <w:t xml:space="preserve"> </w:t>
      </w:r>
      <w:r w:rsidRPr="0023237A">
        <w:t>hydraulisches Tischkissen</w:t>
      </w:r>
      <w:r>
        <w:t>.</w:t>
      </w:r>
      <w:r w:rsidRPr="002D2850">
        <w:t xml:space="preserve"> </w:t>
      </w:r>
      <w:bookmarkStart w:id="0" w:name="_GoBack"/>
      <w:bookmarkEnd w:id="0"/>
      <w:r w:rsidR="002D2850">
        <w:t xml:space="preserve">Die HPX-Pressen können bei Bedarf jederzeit </w:t>
      </w:r>
      <w:r>
        <w:t>modular erweitert und automatisiert werden</w:t>
      </w:r>
      <w:r w:rsidR="002D2850">
        <w:t xml:space="preserve">: Kombiniert mit Bandanlage, </w:t>
      </w:r>
      <w:proofErr w:type="spellStart"/>
      <w:r w:rsidR="002D2850">
        <w:t>Platinenlader</w:t>
      </w:r>
      <w:proofErr w:type="spellEnd"/>
      <w:r w:rsidR="002D2850">
        <w:t xml:space="preserve"> oder Roboterautomation sind sie zu vollwer</w:t>
      </w:r>
      <w:r w:rsidR="00A34980">
        <w:t>tigen Systemlösungen ausbaubar.</w:t>
      </w:r>
    </w:p>
    <w:p w:rsidR="00391E7C" w:rsidRDefault="00391E7C" w:rsidP="00391E7C"/>
    <w:p w:rsidR="000B22C5" w:rsidRPr="00391E7C" w:rsidRDefault="000B22C5" w:rsidP="00391E7C"/>
    <w:p w:rsidR="00C657AF" w:rsidRDefault="000B22C5" w:rsidP="00C657AF">
      <w:pPr>
        <w:pStyle w:val="berschrift2"/>
      </w:pPr>
      <w:r w:rsidRPr="000B22C5">
        <w:rPr>
          <w:rFonts w:cs="Times New Roman"/>
          <w:szCs w:val="22"/>
        </w:rPr>
        <w:t>M</w:t>
      </w:r>
      <w:r w:rsidR="00C657AF" w:rsidRPr="000B22C5">
        <w:t>od</w:t>
      </w:r>
      <w:r w:rsidR="00C657AF">
        <w:t>ellübersicht</w:t>
      </w: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1858"/>
        <w:gridCol w:w="1138"/>
        <w:gridCol w:w="1149"/>
        <w:gridCol w:w="1305"/>
        <w:gridCol w:w="1106"/>
        <w:gridCol w:w="1134"/>
        <w:gridCol w:w="1632"/>
      </w:tblGrid>
      <w:tr w:rsidR="00C657AF" w:rsidRPr="00C657AF" w:rsidTr="009357C1">
        <w:trPr>
          <w:trHeight w:val="300"/>
        </w:trPr>
        <w:tc>
          <w:tcPr>
            <w:tcW w:w="1858" w:type="dxa"/>
            <w:noWrap/>
            <w:vAlign w:val="center"/>
            <w:hideMark/>
          </w:tcPr>
          <w:p w:rsidR="00C657AF" w:rsidRPr="00C657AF" w:rsidRDefault="00C657AF" w:rsidP="009357C1">
            <w:pPr>
              <w:spacing w:line="240" w:lineRule="auto"/>
              <w:jc w:val="right"/>
              <w:rPr>
                <w:rFonts w:asciiTheme="minorHAnsi" w:hAnsiTheme="minorHAnsi" w:cs="Arial"/>
                <w:b/>
                <w:color w:val="000000"/>
              </w:rPr>
            </w:pPr>
            <w:r w:rsidRPr="00C657AF">
              <w:rPr>
                <w:rFonts w:asciiTheme="minorHAnsi" w:hAnsiTheme="minorHAnsi" w:cs="Arial"/>
                <w:b/>
                <w:color w:val="000000"/>
              </w:rPr>
              <w:t>Typ</w:t>
            </w:r>
          </w:p>
        </w:tc>
        <w:tc>
          <w:tcPr>
            <w:tcW w:w="1138" w:type="dxa"/>
            <w:noWrap/>
            <w:vAlign w:val="center"/>
            <w:hideMark/>
          </w:tcPr>
          <w:p w:rsidR="00C657AF" w:rsidRPr="00C657AF" w:rsidRDefault="00C657AF" w:rsidP="009357C1">
            <w:pPr>
              <w:spacing w:line="240" w:lineRule="auto"/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C657AF">
              <w:rPr>
                <w:rFonts w:asciiTheme="minorHAnsi" w:hAnsiTheme="minorHAnsi" w:cs="Arial"/>
                <w:b/>
                <w:color w:val="000000"/>
              </w:rPr>
              <w:t>HPX-250</w:t>
            </w:r>
          </w:p>
        </w:tc>
        <w:tc>
          <w:tcPr>
            <w:tcW w:w="1149" w:type="dxa"/>
            <w:noWrap/>
            <w:vAlign w:val="center"/>
            <w:hideMark/>
          </w:tcPr>
          <w:p w:rsidR="00C657AF" w:rsidRPr="00C657AF" w:rsidRDefault="00C657AF" w:rsidP="009357C1">
            <w:pPr>
              <w:spacing w:line="240" w:lineRule="auto"/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C657AF">
              <w:rPr>
                <w:rFonts w:asciiTheme="minorHAnsi" w:hAnsiTheme="minorHAnsi" w:cs="Arial"/>
                <w:b/>
                <w:color w:val="000000"/>
              </w:rPr>
              <w:t>HPX-400</w:t>
            </w:r>
          </w:p>
        </w:tc>
        <w:tc>
          <w:tcPr>
            <w:tcW w:w="1305" w:type="dxa"/>
            <w:noWrap/>
            <w:vAlign w:val="center"/>
            <w:hideMark/>
          </w:tcPr>
          <w:p w:rsidR="00C657AF" w:rsidRPr="00C657AF" w:rsidRDefault="00C657AF" w:rsidP="009357C1">
            <w:pPr>
              <w:spacing w:line="240" w:lineRule="auto"/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C657AF">
              <w:rPr>
                <w:rFonts w:asciiTheme="minorHAnsi" w:hAnsiTheme="minorHAnsi" w:cs="Arial"/>
                <w:b/>
                <w:color w:val="000000"/>
              </w:rPr>
              <w:t>HPX-630</w:t>
            </w:r>
          </w:p>
        </w:tc>
        <w:tc>
          <w:tcPr>
            <w:tcW w:w="1106" w:type="dxa"/>
            <w:noWrap/>
            <w:vAlign w:val="center"/>
            <w:hideMark/>
          </w:tcPr>
          <w:p w:rsidR="00C657AF" w:rsidRPr="00C657AF" w:rsidRDefault="00C657AF" w:rsidP="009357C1">
            <w:pPr>
              <w:spacing w:line="240" w:lineRule="auto"/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C657AF">
              <w:rPr>
                <w:rFonts w:asciiTheme="minorHAnsi" w:hAnsiTheme="minorHAnsi" w:cs="Arial"/>
                <w:b/>
                <w:color w:val="000000"/>
              </w:rPr>
              <w:t>HPX-800</w:t>
            </w:r>
          </w:p>
        </w:tc>
        <w:tc>
          <w:tcPr>
            <w:tcW w:w="2766" w:type="dxa"/>
            <w:gridSpan w:val="2"/>
            <w:vMerge w:val="restart"/>
            <w:noWrap/>
            <w:vAlign w:val="center"/>
            <w:hideMark/>
          </w:tcPr>
          <w:p w:rsidR="00C657AF" w:rsidRPr="00C657AF" w:rsidRDefault="00C657AF" w:rsidP="009357C1">
            <w:pPr>
              <w:spacing w:line="240" w:lineRule="auto"/>
              <w:jc w:val="center"/>
              <w:rPr>
                <w:rFonts w:asciiTheme="minorHAnsi" w:hAnsiTheme="minorHAnsi" w:cs="Arial"/>
                <w:b/>
                <w:color w:val="000000"/>
              </w:rPr>
            </w:pPr>
            <w:r w:rsidRPr="00C657AF">
              <w:rPr>
                <w:rFonts w:asciiTheme="minorHAnsi" w:hAnsiTheme="minorHAnsi" w:cs="Arial"/>
                <w:b/>
                <w:color w:val="000000"/>
              </w:rPr>
              <w:t>seitlicher Durchgang [mm]</w:t>
            </w:r>
          </w:p>
        </w:tc>
      </w:tr>
      <w:tr w:rsidR="00C657AF" w:rsidRPr="00C657AF" w:rsidTr="009357C1">
        <w:trPr>
          <w:trHeight w:val="300"/>
        </w:trPr>
        <w:tc>
          <w:tcPr>
            <w:tcW w:w="1858" w:type="dxa"/>
            <w:noWrap/>
            <w:vAlign w:val="center"/>
            <w:hideMark/>
          </w:tcPr>
          <w:p w:rsidR="00C657AF" w:rsidRPr="00C657AF" w:rsidRDefault="00C657AF" w:rsidP="009357C1">
            <w:pPr>
              <w:spacing w:line="240" w:lineRule="auto"/>
              <w:jc w:val="right"/>
              <w:rPr>
                <w:rFonts w:asciiTheme="minorHAnsi" w:hAnsiTheme="minorHAnsi" w:cs="Arial"/>
                <w:b/>
                <w:color w:val="000000"/>
              </w:rPr>
            </w:pPr>
            <w:r w:rsidRPr="00C657AF">
              <w:rPr>
                <w:rFonts w:asciiTheme="minorHAnsi" w:hAnsiTheme="minorHAnsi" w:cs="Arial"/>
                <w:b/>
                <w:color w:val="000000"/>
              </w:rPr>
              <w:t>Presskraft [kN]</w:t>
            </w:r>
          </w:p>
        </w:tc>
        <w:tc>
          <w:tcPr>
            <w:tcW w:w="1138" w:type="dxa"/>
            <w:noWrap/>
            <w:vAlign w:val="center"/>
            <w:hideMark/>
          </w:tcPr>
          <w:p w:rsidR="00C657AF" w:rsidRPr="00C657AF" w:rsidRDefault="00C657AF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2.500</w:t>
            </w:r>
          </w:p>
        </w:tc>
        <w:tc>
          <w:tcPr>
            <w:tcW w:w="1149" w:type="dxa"/>
            <w:noWrap/>
            <w:vAlign w:val="center"/>
            <w:hideMark/>
          </w:tcPr>
          <w:p w:rsidR="00C657AF" w:rsidRPr="00C657AF" w:rsidRDefault="00C657AF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4.000</w:t>
            </w:r>
          </w:p>
        </w:tc>
        <w:tc>
          <w:tcPr>
            <w:tcW w:w="1305" w:type="dxa"/>
            <w:noWrap/>
            <w:vAlign w:val="center"/>
            <w:hideMark/>
          </w:tcPr>
          <w:p w:rsidR="00C657AF" w:rsidRPr="00C657AF" w:rsidRDefault="00C657AF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6.300</w:t>
            </w:r>
          </w:p>
        </w:tc>
        <w:tc>
          <w:tcPr>
            <w:tcW w:w="1106" w:type="dxa"/>
            <w:noWrap/>
            <w:vAlign w:val="center"/>
            <w:hideMark/>
          </w:tcPr>
          <w:p w:rsidR="00C657AF" w:rsidRPr="00C657AF" w:rsidRDefault="00C657AF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8.000</w:t>
            </w:r>
          </w:p>
        </w:tc>
        <w:tc>
          <w:tcPr>
            <w:tcW w:w="2766" w:type="dxa"/>
            <w:gridSpan w:val="2"/>
            <w:vMerge/>
            <w:noWrap/>
            <w:vAlign w:val="center"/>
            <w:hideMark/>
          </w:tcPr>
          <w:p w:rsidR="00C657AF" w:rsidRPr="00C657AF" w:rsidRDefault="00C657AF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  <w:tr w:rsidR="00C657AF" w:rsidRPr="00C657AF" w:rsidTr="009357C1">
        <w:trPr>
          <w:trHeight w:val="300"/>
        </w:trPr>
        <w:tc>
          <w:tcPr>
            <w:tcW w:w="1858" w:type="dxa"/>
            <w:noWrap/>
            <w:vAlign w:val="center"/>
            <w:hideMark/>
          </w:tcPr>
          <w:p w:rsidR="00C657AF" w:rsidRPr="00C657AF" w:rsidRDefault="00C657AF" w:rsidP="009357C1">
            <w:pPr>
              <w:spacing w:line="240" w:lineRule="auto"/>
              <w:jc w:val="right"/>
              <w:rPr>
                <w:rFonts w:asciiTheme="minorHAnsi" w:hAnsiTheme="minorHAnsi" w:cs="Arial"/>
                <w:b/>
                <w:color w:val="000000"/>
              </w:rPr>
            </w:pPr>
            <w:r w:rsidRPr="00C657AF">
              <w:rPr>
                <w:rFonts w:asciiTheme="minorHAnsi" w:hAnsiTheme="minorHAnsi" w:cs="Arial"/>
                <w:b/>
                <w:color w:val="000000"/>
              </w:rPr>
              <w:t>Tischlänge [mm]</w:t>
            </w:r>
          </w:p>
        </w:tc>
        <w:tc>
          <w:tcPr>
            <w:tcW w:w="4698" w:type="dxa"/>
            <w:gridSpan w:val="4"/>
            <w:noWrap/>
            <w:vAlign w:val="center"/>
            <w:hideMark/>
          </w:tcPr>
          <w:p w:rsidR="00C657AF" w:rsidRPr="00C657AF" w:rsidRDefault="00C657AF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Tischbreite [mm]</w:t>
            </w:r>
          </w:p>
        </w:tc>
        <w:tc>
          <w:tcPr>
            <w:tcW w:w="1134" w:type="dxa"/>
            <w:noWrap/>
            <w:vAlign w:val="center"/>
            <w:hideMark/>
          </w:tcPr>
          <w:p w:rsidR="00C657AF" w:rsidRPr="00C657AF" w:rsidRDefault="00C657AF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Standard</w:t>
            </w:r>
          </w:p>
        </w:tc>
        <w:tc>
          <w:tcPr>
            <w:tcW w:w="1632" w:type="dxa"/>
            <w:noWrap/>
            <w:vAlign w:val="center"/>
            <w:hideMark/>
          </w:tcPr>
          <w:p w:rsidR="00C657AF" w:rsidRPr="00C657AF" w:rsidRDefault="00C657AF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Optional</w:t>
            </w:r>
          </w:p>
        </w:tc>
      </w:tr>
      <w:tr w:rsidR="009357C1" w:rsidRPr="00C657AF" w:rsidTr="009357C1">
        <w:trPr>
          <w:trHeight w:val="300"/>
        </w:trPr>
        <w:tc>
          <w:tcPr>
            <w:tcW w:w="1858" w:type="dxa"/>
            <w:vMerge w:val="restart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right"/>
              <w:rPr>
                <w:rFonts w:asciiTheme="minorHAnsi" w:hAnsiTheme="minorHAnsi" w:cs="Arial"/>
                <w:b/>
                <w:color w:val="000000"/>
              </w:rPr>
            </w:pPr>
            <w:r w:rsidRPr="00C657AF">
              <w:rPr>
                <w:rFonts w:asciiTheme="minorHAnsi" w:hAnsiTheme="minorHAnsi" w:cs="Arial"/>
                <w:b/>
                <w:color w:val="000000"/>
              </w:rPr>
              <w:t>1.000</w:t>
            </w:r>
          </w:p>
        </w:tc>
        <w:tc>
          <w:tcPr>
            <w:tcW w:w="1138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1.300</w:t>
            </w:r>
          </w:p>
        </w:tc>
        <w:tc>
          <w:tcPr>
            <w:tcW w:w="1149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305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–</w:t>
            </w:r>
          </w:p>
        </w:tc>
        <w:tc>
          <w:tcPr>
            <w:tcW w:w="1106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–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600</w:t>
            </w:r>
          </w:p>
        </w:tc>
        <w:tc>
          <w:tcPr>
            <w:tcW w:w="1632" w:type="dxa"/>
            <w:vMerge w:val="restart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800</w:t>
            </w:r>
          </w:p>
        </w:tc>
      </w:tr>
      <w:tr w:rsidR="009357C1" w:rsidRPr="00C657AF" w:rsidTr="009357C1">
        <w:trPr>
          <w:trHeight w:val="300"/>
        </w:trPr>
        <w:tc>
          <w:tcPr>
            <w:tcW w:w="1858" w:type="dxa"/>
            <w:vMerge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right"/>
              <w:rPr>
                <w:rFonts w:asciiTheme="minorHAnsi" w:hAnsiTheme="minorHAnsi" w:cs="Arial"/>
                <w:b/>
                <w:color w:val="000000"/>
              </w:rPr>
            </w:pPr>
          </w:p>
        </w:tc>
        <w:tc>
          <w:tcPr>
            <w:tcW w:w="1138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1.600</w:t>
            </w:r>
          </w:p>
        </w:tc>
        <w:tc>
          <w:tcPr>
            <w:tcW w:w="1149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1.600</w:t>
            </w:r>
          </w:p>
        </w:tc>
        <w:tc>
          <w:tcPr>
            <w:tcW w:w="1305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–</w:t>
            </w:r>
          </w:p>
        </w:tc>
        <w:tc>
          <w:tcPr>
            <w:tcW w:w="1106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–</w:t>
            </w:r>
          </w:p>
        </w:tc>
        <w:tc>
          <w:tcPr>
            <w:tcW w:w="1134" w:type="dxa"/>
            <w:vMerge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632" w:type="dxa"/>
            <w:vMerge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  <w:tr w:rsidR="009357C1" w:rsidRPr="00C657AF" w:rsidTr="009357C1">
        <w:trPr>
          <w:trHeight w:val="300"/>
        </w:trPr>
        <w:tc>
          <w:tcPr>
            <w:tcW w:w="1858" w:type="dxa"/>
            <w:vMerge w:val="restart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right"/>
              <w:rPr>
                <w:rFonts w:asciiTheme="minorHAnsi" w:hAnsiTheme="minorHAnsi" w:cs="Arial"/>
                <w:b/>
                <w:color w:val="000000"/>
              </w:rPr>
            </w:pPr>
            <w:r w:rsidRPr="00C657AF">
              <w:rPr>
                <w:rFonts w:asciiTheme="minorHAnsi" w:hAnsiTheme="minorHAnsi" w:cs="Arial"/>
                <w:b/>
                <w:color w:val="000000"/>
              </w:rPr>
              <w:t>1.300</w:t>
            </w:r>
          </w:p>
        </w:tc>
        <w:tc>
          <w:tcPr>
            <w:tcW w:w="1138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2.000</w:t>
            </w:r>
          </w:p>
        </w:tc>
        <w:tc>
          <w:tcPr>
            <w:tcW w:w="1149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2.000</w:t>
            </w:r>
          </w:p>
        </w:tc>
        <w:tc>
          <w:tcPr>
            <w:tcW w:w="1305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2.000</w:t>
            </w:r>
          </w:p>
        </w:tc>
        <w:tc>
          <w:tcPr>
            <w:tcW w:w="1106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–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850</w:t>
            </w:r>
          </w:p>
        </w:tc>
        <w:tc>
          <w:tcPr>
            <w:tcW w:w="1632" w:type="dxa"/>
            <w:vMerge w:val="restart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1.100</w:t>
            </w:r>
          </w:p>
        </w:tc>
      </w:tr>
      <w:tr w:rsidR="009357C1" w:rsidRPr="00C657AF" w:rsidTr="009357C1">
        <w:trPr>
          <w:trHeight w:val="300"/>
        </w:trPr>
        <w:tc>
          <w:tcPr>
            <w:tcW w:w="1858" w:type="dxa"/>
            <w:vMerge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right"/>
              <w:rPr>
                <w:rFonts w:asciiTheme="minorHAnsi" w:hAnsiTheme="minorHAnsi" w:cs="Arial"/>
                <w:b/>
                <w:color w:val="000000"/>
              </w:rPr>
            </w:pPr>
          </w:p>
        </w:tc>
        <w:tc>
          <w:tcPr>
            <w:tcW w:w="1138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2.500</w:t>
            </w:r>
          </w:p>
        </w:tc>
        <w:tc>
          <w:tcPr>
            <w:tcW w:w="1305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2.500</w:t>
            </w:r>
          </w:p>
        </w:tc>
        <w:tc>
          <w:tcPr>
            <w:tcW w:w="1106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2.500</w:t>
            </w:r>
          </w:p>
        </w:tc>
        <w:tc>
          <w:tcPr>
            <w:tcW w:w="1134" w:type="dxa"/>
            <w:vMerge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632" w:type="dxa"/>
            <w:vMerge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  <w:tr w:rsidR="009357C1" w:rsidRPr="00C657AF" w:rsidTr="009357C1">
        <w:trPr>
          <w:trHeight w:val="300"/>
        </w:trPr>
        <w:tc>
          <w:tcPr>
            <w:tcW w:w="1858" w:type="dxa"/>
            <w:vMerge w:val="restart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right"/>
              <w:rPr>
                <w:rFonts w:asciiTheme="minorHAnsi" w:hAnsiTheme="minorHAnsi" w:cs="Arial"/>
                <w:b/>
                <w:color w:val="000000"/>
              </w:rPr>
            </w:pPr>
            <w:r w:rsidRPr="00C657AF">
              <w:rPr>
                <w:rFonts w:asciiTheme="minorHAnsi" w:hAnsiTheme="minorHAnsi" w:cs="Arial"/>
                <w:b/>
                <w:color w:val="000000"/>
              </w:rPr>
              <w:t>1.600</w:t>
            </w:r>
          </w:p>
        </w:tc>
        <w:tc>
          <w:tcPr>
            <w:tcW w:w="1138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–</w:t>
            </w:r>
          </w:p>
        </w:tc>
        <w:tc>
          <w:tcPr>
            <w:tcW w:w="1149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–</w:t>
            </w:r>
          </w:p>
        </w:tc>
        <w:tc>
          <w:tcPr>
            <w:tcW w:w="1305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2.500</w:t>
            </w:r>
          </w:p>
        </w:tc>
        <w:tc>
          <w:tcPr>
            <w:tcW w:w="1106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2.500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1.000</w:t>
            </w:r>
          </w:p>
        </w:tc>
        <w:tc>
          <w:tcPr>
            <w:tcW w:w="1632" w:type="dxa"/>
            <w:vMerge w:val="restart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1.300</w:t>
            </w:r>
          </w:p>
        </w:tc>
      </w:tr>
      <w:tr w:rsidR="009357C1" w:rsidRPr="00C657AF" w:rsidTr="009357C1">
        <w:trPr>
          <w:trHeight w:val="300"/>
        </w:trPr>
        <w:tc>
          <w:tcPr>
            <w:tcW w:w="1858" w:type="dxa"/>
            <w:vMerge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right"/>
              <w:rPr>
                <w:rFonts w:asciiTheme="minorHAnsi" w:hAnsiTheme="minorHAnsi" w:cs="Arial"/>
                <w:b/>
                <w:color w:val="000000"/>
              </w:rPr>
            </w:pPr>
          </w:p>
        </w:tc>
        <w:tc>
          <w:tcPr>
            <w:tcW w:w="1138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–</w:t>
            </w:r>
          </w:p>
        </w:tc>
        <w:tc>
          <w:tcPr>
            <w:tcW w:w="1149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–</w:t>
            </w:r>
          </w:p>
        </w:tc>
        <w:tc>
          <w:tcPr>
            <w:tcW w:w="1305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3.000</w:t>
            </w:r>
          </w:p>
        </w:tc>
        <w:tc>
          <w:tcPr>
            <w:tcW w:w="1106" w:type="dxa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3.000</w:t>
            </w:r>
          </w:p>
        </w:tc>
        <w:tc>
          <w:tcPr>
            <w:tcW w:w="1134" w:type="dxa"/>
            <w:vMerge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  <w:tc>
          <w:tcPr>
            <w:tcW w:w="1632" w:type="dxa"/>
            <w:vMerge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  <w:tr w:rsidR="009357C1" w:rsidRPr="00C657AF" w:rsidTr="009357C1">
        <w:trPr>
          <w:trHeight w:val="285"/>
        </w:trPr>
        <w:tc>
          <w:tcPr>
            <w:tcW w:w="1858" w:type="dxa"/>
            <w:vMerge w:val="restart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right"/>
              <w:rPr>
                <w:rFonts w:asciiTheme="minorHAnsi" w:hAnsiTheme="minorHAnsi" w:cs="Arial"/>
                <w:b/>
                <w:color w:val="000000"/>
              </w:rPr>
            </w:pPr>
            <w:r w:rsidRPr="00C657AF">
              <w:rPr>
                <w:rFonts w:asciiTheme="minorHAnsi" w:hAnsiTheme="minorHAnsi" w:cs="Arial"/>
                <w:b/>
                <w:color w:val="000000"/>
              </w:rPr>
              <w:t>Hub / Einbauhöhe [mm]</w:t>
            </w:r>
          </w:p>
        </w:tc>
        <w:tc>
          <w:tcPr>
            <w:tcW w:w="2287" w:type="dxa"/>
            <w:gridSpan w:val="2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600/900</w:t>
            </w:r>
          </w:p>
        </w:tc>
        <w:tc>
          <w:tcPr>
            <w:tcW w:w="2411" w:type="dxa"/>
            <w:gridSpan w:val="2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800/1.200</w:t>
            </w:r>
          </w:p>
        </w:tc>
        <w:tc>
          <w:tcPr>
            <w:tcW w:w="2766" w:type="dxa"/>
            <w:gridSpan w:val="2"/>
            <w:vMerge w:val="restart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  <w:tr w:rsidR="009357C1" w:rsidRPr="00C657AF" w:rsidTr="009357C1">
        <w:trPr>
          <w:trHeight w:val="285"/>
        </w:trPr>
        <w:tc>
          <w:tcPr>
            <w:tcW w:w="1858" w:type="dxa"/>
            <w:vMerge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right"/>
              <w:rPr>
                <w:rFonts w:asciiTheme="minorHAnsi" w:hAnsiTheme="minorHAnsi" w:cs="Arial"/>
                <w:b/>
                <w:color w:val="000000"/>
              </w:rPr>
            </w:pPr>
          </w:p>
        </w:tc>
        <w:tc>
          <w:tcPr>
            <w:tcW w:w="2287" w:type="dxa"/>
            <w:gridSpan w:val="2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900/1.200</w:t>
            </w:r>
          </w:p>
        </w:tc>
        <w:tc>
          <w:tcPr>
            <w:tcW w:w="2411" w:type="dxa"/>
            <w:gridSpan w:val="2"/>
            <w:noWrap/>
            <w:vAlign w:val="center"/>
            <w:hideMark/>
          </w:tcPr>
          <w:p w:rsidR="009357C1" w:rsidRPr="00C657AF" w:rsidRDefault="009357C1" w:rsidP="009357C1">
            <w:pPr>
              <w:spacing w:line="240" w:lineRule="auto"/>
              <w:jc w:val="center"/>
              <w:rPr>
                <w:rFonts w:asciiTheme="minorHAnsi" w:hAnsiTheme="minorHAnsi" w:cs="Arial"/>
                <w:color w:val="000000"/>
              </w:rPr>
            </w:pPr>
            <w:r w:rsidRPr="00C657AF">
              <w:rPr>
                <w:rFonts w:asciiTheme="minorHAnsi" w:hAnsiTheme="minorHAnsi" w:cs="Arial"/>
                <w:color w:val="000000"/>
              </w:rPr>
              <w:t>1.000/1.500</w:t>
            </w:r>
          </w:p>
        </w:tc>
        <w:tc>
          <w:tcPr>
            <w:tcW w:w="2766" w:type="dxa"/>
            <w:gridSpan w:val="2"/>
            <w:vMerge/>
            <w:noWrap/>
            <w:hideMark/>
          </w:tcPr>
          <w:p w:rsidR="009357C1" w:rsidRPr="00C657AF" w:rsidRDefault="009357C1" w:rsidP="00C657AF">
            <w:pPr>
              <w:spacing w:line="240" w:lineRule="auto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C657AF" w:rsidRPr="007E3B4F" w:rsidRDefault="00AC557A" w:rsidP="00AC557A">
      <w:pPr>
        <w:ind w:right="-2552"/>
        <w:rPr>
          <w:i/>
        </w:rPr>
      </w:pPr>
      <w:r w:rsidRPr="007E3B4F">
        <w:rPr>
          <w:i/>
        </w:rPr>
        <w:t>Auf Anfrage mit alternativen Tischgrößen und Presskräften als Sonderausführung lieferbar</w:t>
      </w:r>
      <w:r w:rsidR="00173E05" w:rsidRPr="007E3B4F">
        <w:rPr>
          <w:i/>
        </w:rPr>
        <w:t>.</w:t>
      </w:r>
    </w:p>
    <w:p w:rsidR="009E37CF" w:rsidRPr="0065688A" w:rsidRDefault="009E37CF" w:rsidP="009E37CF"/>
    <w:p w:rsidR="009E37CF" w:rsidRDefault="009E37CF" w:rsidP="009E37CF"/>
    <w:p w:rsidR="009E37CF" w:rsidRDefault="009E37CF" w:rsidP="009E37CF">
      <w:pPr>
        <w:pStyle w:val="berschrift2"/>
      </w:pPr>
      <w:r>
        <w:t>Internet</w:t>
      </w:r>
    </w:p>
    <w:p w:rsidR="00C657AF" w:rsidRDefault="000B4D7D" w:rsidP="009E37CF">
      <w:pPr>
        <w:spacing w:line="240" w:lineRule="auto"/>
        <w:rPr>
          <w:rFonts w:cs="Arial"/>
        </w:rPr>
      </w:pPr>
      <w:hyperlink r:id="rId10" w:history="1">
        <w:r w:rsidR="009E37CF" w:rsidRPr="00C90A19">
          <w:rPr>
            <w:rStyle w:val="Hyperlink"/>
          </w:rPr>
          <w:t>www.schulergroup.com/Hydraulic_Press</w:t>
        </w:r>
      </w:hyperlink>
      <w:r w:rsidR="00C657AF">
        <w:rPr>
          <w:rFonts w:cs="Arial"/>
        </w:rPr>
        <w:br w:type="page"/>
      </w:r>
    </w:p>
    <w:p w:rsidR="009E37CF" w:rsidRDefault="009E37CF" w:rsidP="009E37CF">
      <w:pPr>
        <w:pStyle w:val="berschrift3"/>
      </w:pPr>
      <w:r>
        <w:lastRenderedPageBreak/>
        <w:t>Bildunterschriften</w:t>
      </w:r>
    </w:p>
    <w:p w:rsidR="00C755C5" w:rsidRDefault="009E37CF" w:rsidP="009E37CF">
      <w:r>
        <w:t xml:space="preserve">Bild1.jpg: </w:t>
      </w:r>
      <w:r w:rsidR="00C755C5">
        <w:t xml:space="preserve">Auf einer Hausmesse am Standort </w:t>
      </w:r>
      <w:proofErr w:type="spellStart"/>
      <w:r w:rsidR="00C755C5">
        <w:t>Waghäusel</w:t>
      </w:r>
      <w:proofErr w:type="spellEnd"/>
      <w:r w:rsidR="00C755C5">
        <w:t xml:space="preserve"> hat Schuler die HPX-Baureihe vor rund 50 Besuchern öffentlich vorgestellt.</w:t>
      </w:r>
    </w:p>
    <w:p w:rsidR="009E37CF" w:rsidRDefault="00C755C5" w:rsidP="009E37CF">
      <w:r>
        <w:t xml:space="preserve">Bild2.jpg: </w:t>
      </w:r>
      <w:r w:rsidR="009E37CF">
        <w:t xml:space="preserve">Das standardisierte Maschinenkonzept der neuen HPX-Baureihe von Schuler </w:t>
      </w:r>
      <w:r w:rsidR="00173E05">
        <w:t xml:space="preserve">führt zu einem attraktiven </w:t>
      </w:r>
      <w:r w:rsidR="009E37CF">
        <w:t>Preis-Leistungs-Verhältnis.</w:t>
      </w:r>
    </w:p>
    <w:p w:rsidR="009E37CF" w:rsidRDefault="009E37CF" w:rsidP="009E37CF">
      <w:r>
        <w:t>Bild</w:t>
      </w:r>
      <w:r w:rsidR="00C755C5">
        <w:t>3</w:t>
      </w:r>
      <w:r>
        <w:t xml:space="preserve">.jpg: </w:t>
      </w:r>
      <w:r w:rsidR="00173E05">
        <w:t>Das X steht für Vielseitigkeit: Von der Platine bis zum fertigen Teil können die verschiedensten Blech-Produkte produziert werden</w:t>
      </w:r>
      <w:r>
        <w:t>.</w:t>
      </w:r>
    </w:p>
    <w:p w:rsidR="009E37CF" w:rsidRDefault="009E37CF" w:rsidP="009E37CF">
      <w:pPr>
        <w:rPr>
          <w:i/>
        </w:rPr>
      </w:pPr>
      <w:r w:rsidRPr="005833D5">
        <w:rPr>
          <w:i/>
        </w:rPr>
        <w:t>Als Bildquelle bitte Schuler angeben.</w:t>
      </w:r>
    </w:p>
    <w:p w:rsidR="009E37CF" w:rsidRPr="0065688A" w:rsidRDefault="009E37CF" w:rsidP="009E37CF"/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1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D40F4E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</w:t>
      </w:r>
      <w:r w:rsidR="008A34E9">
        <w:rPr>
          <w:i/>
        </w:rPr>
        <w:t>5</w:t>
      </w:r>
      <w:r w:rsidRPr="00AF64B9">
        <w:rPr>
          <w:i/>
        </w:rPr>
        <w:t>00 Mitarbeiter im Einsatz. Der Schuler-Konzern ist in 40 Ländern präsent und gehört mehrheitlich zur österreichischen ANDRITZ-Gruppe.</w:t>
      </w:r>
    </w:p>
    <w:p w:rsidR="00A52517" w:rsidRDefault="00A52517" w:rsidP="003F0681">
      <w:pPr>
        <w:spacing w:line="240" w:lineRule="auto"/>
        <w:ind w:right="-15"/>
        <w:jc w:val="both"/>
        <w:outlineLvl w:val="0"/>
        <w:rPr>
          <w:i/>
        </w:rPr>
      </w:pPr>
    </w:p>
    <w:p w:rsidR="00A52517" w:rsidRDefault="00A52517" w:rsidP="00A52517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Besuchen Sie Schuler in den sozialen Netzwerken:</w:t>
      </w:r>
    </w:p>
    <w:p w:rsidR="002D46DE" w:rsidRDefault="002D46DE" w:rsidP="002D46DE">
      <w:pPr>
        <w:tabs>
          <w:tab w:val="left" w:pos="426"/>
        </w:tabs>
        <w:spacing w:line="240" w:lineRule="auto"/>
        <w:ind w:right="-15"/>
        <w:jc w:val="both"/>
        <w:outlineLvl w:val="0"/>
        <w:rPr>
          <w:i/>
        </w:rPr>
      </w:pPr>
    </w:p>
    <w:p w:rsidR="002D46DE" w:rsidRPr="002D46DE" w:rsidRDefault="002D46DE" w:rsidP="002D46DE">
      <w:pPr>
        <w:pStyle w:val="Unternehmensdaten"/>
        <w:tabs>
          <w:tab w:val="left" w:pos="426"/>
        </w:tabs>
        <w:ind w:firstLine="426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3360" behindDoc="0" locked="0" layoutInCell="1" allowOverlap="1" wp14:anchorId="4DC7098B" wp14:editId="67C602B1">
            <wp:simplePos x="0" y="0"/>
            <wp:positionH relativeFrom="column">
              <wp:posOffset>-635</wp:posOffset>
            </wp:positionH>
            <wp:positionV relativeFrom="paragraph">
              <wp:posOffset>-43815</wp:posOffset>
            </wp:positionV>
            <wp:extent cx="180975" cy="180975"/>
            <wp:effectExtent l="0" t="0" r="9525" b="9525"/>
            <wp:wrapNone/>
            <wp:docPr id="15" name="Grafik 15" descr="C:\Users\scherren\Downloads\fb_icon_325x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erren\Downloads\fb_icon_325x32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3" w:history="1">
        <w:r w:rsidRPr="002D46DE">
          <w:rPr>
            <w:rStyle w:val="Hyperlink"/>
            <w:sz w:val="22"/>
            <w:szCs w:val="22"/>
          </w:rPr>
          <w:t>www.schulergroup</w:t>
        </w:r>
      </w:hyperlink>
      <w:r w:rsidRPr="002D46DE">
        <w:rPr>
          <w:rStyle w:val="Hyperlink"/>
          <w:sz w:val="22"/>
          <w:szCs w:val="22"/>
        </w:rPr>
        <w:t>.com/facebook</w:t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32624167" wp14:editId="7E73E4FB">
            <wp:simplePos x="0" y="0"/>
            <wp:positionH relativeFrom="column">
              <wp:posOffset>-1270</wp:posOffset>
            </wp:positionH>
            <wp:positionV relativeFrom="paragraph">
              <wp:posOffset>128270</wp:posOffset>
            </wp:positionV>
            <wp:extent cx="180975" cy="146685"/>
            <wp:effectExtent l="0" t="0" r="9525" b="5715"/>
            <wp:wrapNone/>
            <wp:docPr id="16" name="Grafik 16" descr="C:\Users\scherren\Downloads\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erren\Downloads\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2D46DE">
        <w:tab/>
      </w:r>
      <w:hyperlink r:id="rId15" w:history="1">
        <w:r w:rsidRPr="002D46DE">
          <w:rPr>
            <w:rStyle w:val="Hyperlink"/>
            <w:sz w:val="22"/>
            <w:szCs w:val="22"/>
          </w:rPr>
          <w:t>/</w:t>
        </w:r>
        <w:proofErr w:type="spellStart"/>
        <w:r w:rsidRPr="002D46DE">
          <w:rPr>
            <w:rStyle w:val="Hyperlink"/>
            <w:sz w:val="22"/>
            <w:szCs w:val="22"/>
          </w:rPr>
          <w:t>twitter</w:t>
        </w:r>
        <w:proofErr w:type="spellEnd"/>
      </w:hyperlink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3F2465D9" wp14:editId="726408A0">
            <wp:simplePos x="0" y="0"/>
            <wp:positionH relativeFrom="column">
              <wp:posOffset>-1270</wp:posOffset>
            </wp:positionH>
            <wp:positionV relativeFrom="paragraph">
              <wp:posOffset>87630</wp:posOffset>
            </wp:positionV>
            <wp:extent cx="190500" cy="190500"/>
            <wp:effectExtent l="0" t="0" r="0" b="0"/>
            <wp:wrapNone/>
            <wp:docPr id="17" name="Grafik 17" descr="C:\Users\scherren\Downloads\youtube_logo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erren\Downloads\youtube_logo_detail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2D46DE">
        <w:tab/>
      </w:r>
      <w:hyperlink r:id="rId17" w:history="1">
        <w:r w:rsidRPr="002D46DE">
          <w:rPr>
            <w:rStyle w:val="Hyperlink"/>
            <w:sz w:val="22"/>
            <w:szCs w:val="22"/>
          </w:rPr>
          <w:t>/</w:t>
        </w:r>
        <w:proofErr w:type="spellStart"/>
        <w:r w:rsidRPr="002D46DE">
          <w:rPr>
            <w:rStyle w:val="Hyperlink"/>
            <w:sz w:val="22"/>
            <w:szCs w:val="22"/>
          </w:rPr>
          <w:t>youtube</w:t>
        </w:r>
        <w:proofErr w:type="spellEnd"/>
      </w:hyperlink>
      <w:r w:rsidRPr="002D46DE">
        <w:rPr>
          <w:sz w:val="22"/>
          <w:szCs w:val="22"/>
        </w:rPr>
        <w:t xml:space="preserve"> </w:t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78237620" wp14:editId="0377AC61">
            <wp:simplePos x="0" y="0"/>
            <wp:positionH relativeFrom="column">
              <wp:posOffset>-1270</wp:posOffset>
            </wp:positionH>
            <wp:positionV relativeFrom="paragraph">
              <wp:posOffset>104029</wp:posOffset>
            </wp:positionV>
            <wp:extent cx="180975" cy="191770"/>
            <wp:effectExtent l="0" t="0" r="9525" b="0"/>
            <wp:wrapNone/>
            <wp:docPr id="18" name="Grafik 18" descr="C:\Users\scherren\Downloads\xing-logo-e1301988921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herren\Downloads\xing-logo-e130198892111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6314CC" w:rsidRDefault="002D46DE" w:rsidP="002D46DE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2D46DE">
        <w:tab/>
      </w:r>
      <w:hyperlink r:id="rId19" w:history="1">
        <w:r>
          <w:rPr>
            <w:rStyle w:val="Hyperlink"/>
            <w:sz w:val="22"/>
            <w:szCs w:val="22"/>
            <w:lang w:val="en-US"/>
          </w:rPr>
          <w:t>/</w:t>
        </w:r>
        <w:proofErr w:type="spellStart"/>
        <w:r>
          <w:rPr>
            <w:rStyle w:val="Hyperlink"/>
            <w:sz w:val="22"/>
            <w:szCs w:val="22"/>
            <w:lang w:val="en-US"/>
          </w:rPr>
          <w:t>x</w:t>
        </w:r>
        <w:r w:rsidRPr="006314CC">
          <w:rPr>
            <w:rStyle w:val="Hyperlink"/>
            <w:sz w:val="22"/>
            <w:szCs w:val="22"/>
            <w:lang w:val="en-US"/>
          </w:rPr>
          <w:t>ing</w:t>
        </w:r>
        <w:proofErr w:type="spellEnd"/>
      </w:hyperlink>
    </w:p>
    <w:p w:rsidR="002D46DE" w:rsidRPr="006314CC" w:rsidRDefault="002D46DE" w:rsidP="002D46DE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2336" behindDoc="0" locked="0" layoutInCell="1" allowOverlap="1" wp14:anchorId="211CB75E" wp14:editId="65B3587A">
            <wp:simplePos x="0" y="0"/>
            <wp:positionH relativeFrom="column">
              <wp:posOffset>-1270</wp:posOffset>
            </wp:positionH>
            <wp:positionV relativeFrom="paragraph">
              <wp:posOffset>110601</wp:posOffset>
            </wp:positionV>
            <wp:extent cx="180975" cy="180975"/>
            <wp:effectExtent l="0" t="0" r="9525" b="9525"/>
            <wp:wrapNone/>
            <wp:docPr id="19" name="Grafik 19" descr="C:\Users\scherren\Downloads\LinkedIn_logo_initi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erren\Downloads\LinkedIn_logo_initials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2D46DE" w:rsidRDefault="002D46DE" w:rsidP="002D46DE">
      <w:pPr>
        <w:pStyle w:val="Unternehmensdaten"/>
        <w:tabs>
          <w:tab w:val="left" w:pos="426"/>
        </w:tabs>
        <w:rPr>
          <w:color w:val="0000FF"/>
          <w:sz w:val="22"/>
          <w:szCs w:val="22"/>
          <w:u w:val="single"/>
          <w:lang w:val="en-US"/>
        </w:rPr>
      </w:pPr>
      <w:r>
        <w:tab/>
      </w:r>
      <w:hyperlink r:id="rId21" w:history="1">
        <w:r>
          <w:rPr>
            <w:rStyle w:val="Hyperlink"/>
            <w:sz w:val="22"/>
            <w:szCs w:val="22"/>
            <w:lang w:val="en-US"/>
          </w:rPr>
          <w:t>/</w:t>
        </w:r>
        <w:proofErr w:type="spellStart"/>
        <w:r>
          <w:rPr>
            <w:rStyle w:val="Hyperlink"/>
            <w:sz w:val="22"/>
            <w:szCs w:val="22"/>
            <w:lang w:val="en-US"/>
          </w:rPr>
          <w:t>l</w:t>
        </w:r>
        <w:r w:rsidRPr="006314CC">
          <w:rPr>
            <w:rStyle w:val="Hyperlink"/>
            <w:sz w:val="22"/>
            <w:szCs w:val="22"/>
            <w:lang w:val="en-US"/>
          </w:rPr>
          <w:t>inkedin</w:t>
        </w:r>
        <w:proofErr w:type="spellEnd"/>
      </w:hyperlink>
    </w:p>
    <w:sectPr w:rsidR="00A52517" w:rsidRPr="002D46DE" w:rsidSect="007E1606">
      <w:headerReference w:type="default" r:id="rId22"/>
      <w:footerReference w:type="default" r:id="rId23"/>
      <w:headerReference w:type="first" r:id="rId24"/>
      <w:footerReference w:type="first" r:id="rId2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DE4" w:rsidRDefault="00A76DE4" w:rsidP="007E132D">
      <w:r>
        <w:separator/>
      </w:r>
    </w:p>
    <w:p w:rsidR="00A76DE4" w:rsidRDefault="00A76DE4" w:rsidP="007E132D"/>
  </w:endnote>
  <w:endnote w:type="continuationSeparator" w:id="0">
    <w:p w:rsidR="00A76DE4" w:rsidRDefault="00A76DE4" w:rsidP="007E132D">
      <w:r>
        <w:continuationSeparator/>
      </w:r>
    </w:p>
    <w:p w:rsidR="00A76DE4" w:rsidRDefault="00A76DE4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0B4D7D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0B4D7D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0B4D7D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0B4D7D" w:rsidRPr="007E1606">
            <w:rPr>
              <w:rFonts w:eastAsia="Calibri"/>
              <w:noProof/>
            </w:rPr>
            <w:t xml:space="preserve">Seite </w:t>
          </w:r>
          <w:r w:rsidR="000B4D7D">
            <w:rPr>
              <w:rFonts w:eastAsia="Calibri"/>
              <w:noProof/>
            </w:rPr>
            <w:t>2</w:t>
          </w:r>
          <w:r w:rsidR="000B4D7D" w:rsidRPr="007E1606">
            <w:rPr>
              <w:rFonts w:eastAsia="Calibri"/>
              <w:noProof/>
            </w:rPr>
            <w:t xml:space="preserve"> von </w:t>
          </w:r>
          <w:r w:rsidR="000B4D7D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DE4" w:rsidRDefault="00A76DE4" w:rsidP="007E132D">
      <w:r>
        <w:separator/>
      </w:r>
    </w:p>
    <w:p w:rsidR="00A76DE4" w:rsidRDefault="00A76DE4" w:rsidP="007E132D"/>
  </w:footnote>
  <w:footnote w:type="continuationSeparator" w:id="0">
    <w:p w:rsidR="00A76DE4" w:rsidRDefault="00A76DE4" w:rsidP="007E132D">
      <w:r>
        <w:continuationSeparator/>
      </w:r>
    </w:p>
    <w:p w:rsidR="00A76DE4" w:rsidRDefault="00A76DE4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E4"/>
    <w:rsid w:val="00003CBE"/>
    <w:rsid w:val="00004C7F"/>
    <w:rsid w:val="000164F4"/>
    <w:rsid w:val="00024F48"/>
    <w:rsid w:val="00031750"/>
    <w:rsid w:val="00033BD2"/>
    <w:rsid w:val="000426EB"/>
    <w:rsid w:val="00053C5D"/>
    <w:rsid w:val="0005444A"/>
    <w:rsid w:val="00061C30"/>
    <w:rsid w:val="00062CBB"/>
    <w:rsid w:val="000716BA"/>
    <w:rsid w:val="00075A45"/>
    <w:rsid w:val="00086F40"/>
    <w:rsid w:val="000A52A8"/>
    <w:rsid w:val="000B22C5"/>
    <w:rsid w:val="000B4D7D"/>
    <w:rsid w:val="000B704A"/>
    <w:rsid w:val="000C0CAD"/>
    <w:rsid w:val="000E228F"/>
    <w:rsid w:val="000E5B24"/>
    <w:rsid w:val="000F2F77"/>
    <w:rsid w:val="00102187"/>
    <w:rsid w:val="00130A5F"/>
    <w:rsid w:val="00136218"/>
    <w:rsid w:val="00136E90"/>
    <w:rsid w:val="00145086"/>
    <w:rsid w:val="00152C69"/>
    <w:rsid w:val="001631E1"/>
    <w:rsid w:val="0016339C"/>
    <w:rsid w:val="0016495A"/>
    <w:rsid w:val="00173722"/>
    <w:rsid w:val="00173E05"/>
    <w:rsid w:val="0017697C"/>
    <w:rsid w:val="001A4557"/>
    <w:rsid w:val="001C1FA2"/>
    <w:rsid w:val="001C3EE2"/>
    <w:rsid w:val="001E0C3C"/>
    <w:rsid w:val="001F6280"/>
    <w:rsid w:val="002077B7"/>
    <w:rsid w:val="00212513"/>
    <w:rsid w:val="00215C8A"/>
    <w:rsid w:val="002315E0"/>
    <w:rsid w:val="0023237A"/>
    <w:rsid w:val="00250719"/>
    <w:rsid w:val="002712C2"/>
    <w:rsid w:val="00287BA9"/>
    <w:rsid w:val="00294556"/>
    <w:rsid w:val="002A1D04"/>
    <w:rsid w:val="002A3A54"/>
    <w:rsid w:val="002A42B6"/>
    <w:rsid w:val="002A4B0E"/>
    <w:rsid w:val="002B391B"/>
    <w:rsid w:val="002B392D"/>
    <w:rsid w:val="002B41E8"/>
    <w:rsid w:val="002D2850"/>
    <w:rsid w:val="002D46DE"/>
    <w:rsid w:val="002F32C9"/>
    <w:rsid w:val="003148B8"/>
    <w:rsid w:val="003230D4"/>
    <w:rsid w:val="00323555"/>
    <w:rsid w:val="003371D9"/>
    <w:rsid w:val="00363740"/>
    <w:rsid w:val="00365A9E"/>
    <w:rsid w:val="003728F6"/>
    <w:rsid w:val="00373C01"/>
    <w:rsid w:val="00377DED"/>
    <w:rsid w:val="00391E7C"/>
    <w:rsid w:val="003C626A"/>
    <w:rsid w:val="003D4D23"/>
    <w:rsid w:val="003D71E3"/>
    <w:rsid w:val="003D76C7"/>
    <w:rsid w:val="003E270B"/>
    <w:rsid w:val="003E30C0"/>
    <w:rsid w:val="003F0681"/>
    <w:rsid w:val="003F6888"/>
    <w:rsid w:val="00403EFF"/>
    <w:rsid w:val="00431A18"/>
    <w:rsid w:val="004355F7"/>
    <w:rsid w:val="0045614C"/>
    <w:rsid w:val="00476782"/>
    <w:rsid w:val="00476D9C"/>
    <w:rsid w:val="00485C6B"/>
    <w:rsid w:val="004B6CEF"/>
    <w:rsid w:val="004C4B30"/>
    <w:rsid w:val="004C697D"/>
    <w:rsid w:val="004D539F"/>
    <w:rsid w:val="004D76DD"/>
    <w:rsid w:val="00533491"/>
    <w:rsid w:val="005337CB"/>
    <w:rsid w:val="00546EB8"/>
    <w:rsid w:val="00552A9D"/>
    <w:rsid w:val="005547DF"/>
    <w:rsid w:val="0056768B"/>
    <w:rsid w:val="0057423B"/>
    <w:rsid w:val="00575FA0"/>
    <w:rsid w:val="005770A3"/>
    <w:rsid w:val="005833D5"/>
    <w:rsid w:val="00595D96"/>
    <w:rsid w:val="005C0BBB"/>
    <w:rsid w:val="005C6AE3"/>
    <w:rsid w:val="00601238"/>
    <w:rsid w:val="0060142A"/>
    <w:rsid w:val="0065451D"/>
    <w:rsid w:val="00654B60"/>
    <w:rsid w:val="0065688A"/>
    <w:rsid w:val="00660D47"/>
    <w:rsid w:val="0067074A"/>
    <w:rsid w:val="00671E3C"/>
    <w:rsid w:val="00674EF3"/>
    <w:rsid w:val="006813B8"/>
    <w:rsid w:val="006818D5"/>
    <w:rsid w:val="0068251B"/>
    <w:rsid w:val="00683F3C"/>
    <w:rsid w:val="006848FF"/>
    <w:rsid w:val="00687868"/>
    <w:rsid w:val="006A31D9"/>
    <w:rsid w:val="006A3333"/>
    <w:rsid w:val="006A659E"/>
    <w:rsid w:val="006A7F52"/>
    <w:rsid w:val="006B76A4"/>
    <w:rsid w:val="006D7242"/>
    <w:rsid w:val="006F4567"/>
    <w:rsid w:val="00714E5C"/>
    <w:rsid w:val="0072042B"/>
    <w:rsid w:val="00733491"/>
    <w:rsid w:val="00733AAF"/>
    <w:rsid w:val="0076293E"/>
    <w:rsid w:val="007826E4"/>
    <w:rsid w:val="00784E5A"/>
    <w:rsid w:val="00794AEE"/>
    <w:rsid w:val="007A6837"/>
    <w:rsid w:val="007B0BF4"/>
    <w:rsid w:val="007C16F5"/>
    <w:rsid w:val="007E132D"/>
    <w:rsid w:val="007E1606"/>
    <w:rsid w:val="007E3B4F"/>
    <w:rsid w:val="007F4512"/>
    <w:rsid w:val="0080175C"/>
    <w:rsid w:val="00821B54"/>
    <w:rsid w:val="00821E5D"/>
    <w:rsid w:val="00822597"/>
    <w:rsid w:val="008258E8"/>
    <w:rsid w:val="008334D5"/>
    <w:rsid w:val="00865B83"/>
    <w:rsid w:val="008718D2"/>
    <w:rsid w:val="0087295F"/>
    <w:rsid w:val="00873CD1"/>
    <w:rsid w:val="00876184"/>
    <w:rsid w:val="00876E6E"/>
    <w:rsid w:val="00877DC8"/>
    <w:rsid w:val="00894865"/>
    <w:rsid w:val="008A34E9"/>
    <w:rsid w:val="008A6D30"/>
    <w:rsid w:val="008C6578"/>
    <w:rsid w:val="008D1374"/>
    <w:rsid w:val="008D67FA"/>
    <w:rsid w:val="008E1F8F"/>
    <w:rsid w:val="008F5E25"/>
    <w:rsid w:val="009060ED"/>
    <w:rsid w:val="00920948"/>
    <w:rsid w:val="00920D55"/>
    <w:rsid w:val="00926076"/>
    <w:rsid w:val="009357C1"/>
    <w:rsid w:val="00941203"/>
    <w:rsid w:val="00942828"/>
    <w:rsid w:val="00944D93"/>
    <w:rsid w:val="00961469"/>
    <w:rsid w:val="0096743F"/>
    <w:rsid w:val="00975A13"/>
    <w:rsid w:val="009A680E"/>
    <w:rsid w:val="009A7051"/>
    <w:rsid w:val="009B2577"/>
    <w:rsid w:val="009B3EB7"/>
    <w:rsid w:val="009D26B2"/>
    <w:rsid w:val="009E37CF"/>
    <w:rsid w:val="009E4D92"/>
    <w:rsid w:val="009F65F3"/>
    <w:rsid w:val="00A0214C"/>
    <w:rsid w:val="00A27D76"/>
    <w:rsid w:val="00A31D72"/>
    <w:rsid w:val="00A327EE"/>
    <w:rsid w:val="00A32B85"/>
    <w:rsid w:val="00A34980"/>
    <w:rsid w:val="00A37BA8"/>
    <w:rsid w:val="00A46561"/>
    <w:rsid w:val="00A500A4"/>
    <w:rsid w:val="00A52517"/>
    <w:rsid w:val="00A55D2E"/>
    <w:rsid w:val="00A76DE4"/>
    <w:rsid w:val="00A86ACD"/>
    <w:rsid w:val="00A9156A"/>
    <w:rsid w:val="00A91986"/>
    <w:rsid w:val="00A93519"/>
    <w:rsid w:val="00AB7C1E"/>
    <w:rsid w:val="00AC557A"/>
    <w:rsid w:val="00AC55D1"/>
    <w:rsid w:val="00AC6510"/>
    <w:rsid w:val="00AE3AFF"/>
    <w:rsid w:val="00AF2D43"/>
    <w:rsid w:val="00AF64B9"/>
    <w:rsid w:val="00B01B58"/>
    <w:rsid w:val="00B06BC4"/>
    <w:rsid w:val="00B17869"/>
    <w:rsid w:val="00B206B1"/>
    <w:rsid w:val="00B20E78"/>
    <w:rsid w:val="00B23715"/>
    <w:rsid w:val="00B27A07"/>
    <w:rsid w:val="00B307A6"/>
    <w:rsid w:val="00B47659"/>
    <w:rsid w:val="00B55136"/>
    <w:rsid w:val="00B66347"/>
    <w:rsid w:val="00B762C9"/>
    <w:rsid w:val="00BB5286"/>
    <w:rsid w:val="00C657AF"/>
    <w:rsid w:val="00C72CD3"/>
    <w:rsid w:val="00C744C4"/>
    <w:rsid w:val="00C755C5"/>
    <w:rsid w:val="00C82B81"/>
    <w:rsid w:val="00C944AD"/>
    <w:rsid w:val="00CA6152"/>
    <w:rsid w:val="00CA6B70"/>
    <w:rsid w:val="00CB2B5C"/>
    <w:rsid w:val="00CC2FFE"/>
    <w:rsid w:val="00CC7CCA"/>
    <w:rsid w:val="00CD3AA7"/>
    <w:rsid w:val="00CE26DA"/>
    <w:rsid w:val="00D14566"/>
    <w:rsid w:val="00D15E35"/>
    <w:rsid w:val="00D16703"/>
    <w:rsid w:val="00D36969"/>
    <w:rsid w:val="00D4009C"/>
    <w:rsid w:val="00D40F4E"/>
    <w:rsid w:val="00D5679F"/>
    <w:rsid w:val="00D632BC"/>
    <w:rsid w:val="00D70203"/>
    <w:rsid w:val="00D748AF"/>
    <w:rsid w:val="00D76894"/>
    <w:rsid w:val="00D82AE7"/>
    <w:rsid w:val="00DB3F3F"/>
    <w:rsid w:val="00DB73FC"/>
    <w:rsid w:val="00DC5C7D"/>
    <w:rsid w:val="00DD16C5"/>
    <w:rsid w:val="00DE35EB"/>
    <w:rsid w:val="00DE6930"/>
    <w:rsid w:val="00E03888"/>
    <w:rsid w:val="00E207BB"/>
    <w:rsid w:val="00E2304D"/>
    <w:rsid w:val="00E26828"/>
    <w:rsid w:val="00E3363B"/>
    <w:rsid w:val="00E36721"/>
    <w:rsid w:val="00E46AD4"/>
    <w:rsid w:val="00E54350"/>
    <w:rsid w:val="00E5769E"/>
    <w:rsid w:val="00E6320B"/>
    <w:rsid w:val="00E65DEF"/>
    <w:rsid w:val="00E75422"/>
    <w:rsid w:val="00E85A97"/>
    <w:rsid w:val="00E90330"/>
    <w:rsid w:val="00E94A8B"/>
    <w:rsid w:val="00E94CAA"/>
    <w:rsid w:val="00EA0877"/>
    <w:rsid w:val="00EA7DC3"/>
    <w:rsid w:val="00EB1C2E"/>
    <w:rsid w:val="00ED5136"/>
    <w:rsid w:val="00F23AAD"/>
    <w:rsid w:val="00F44765"/>
    <w:rsid w:val="00F5073A"/>
    <w:rsid w:val="00F654EB"/>
    <w:rsid w:val="00F670D1"/>
    <w:rsid w:val="00F7676C"/>
    <w:rsid w:val="00F861F9"/>
    <w:rsid w:val="00FB2D00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table" w:styleId="MittlereSchattierung2-Akzent1">
    <w:name w:val="Medium Shading 2 Accent 1"/>
    <w:basedOn w:val="NormaleTabelle"/>
    <w:uiPriority w:val="64"/>
    <w:rsid w:val="00C657A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leAktuell">
    <w:name w:val="Table Contemporary"/>
    <w:basedOn w:val="NormaleTabelle"/>
    <w:rsid w:val="00C657AF"/>
    <w:pPr>
      <w:spacing w:line="36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3Zchn">
    <w:name w:val="Überschrift 3 Zchn"/>
    <w:basedOn w:val="Absatz-Standardschriftart"/>
    <w:link w:val="berschrift3"/>
    <w:rsid w:val="009E37CF"/>
    <w:rPr>
      <w:rFonts w:ascii="Calibri" w:hAnsi="Calibri" w:cs="Arial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table" w:styleId="MittlereSchattierung2-Akzent1">
    <w:name w:val="Medium Shading 2 Accent 1"/>
    <w:basedOn w:val="NormaleTabelle"/>
    <w:uiPriority w:val="64"/>
    <w:rsid w:val="00C657A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leAktuell">
    <w:name w:val="Table Contemporary"/>
    <w:basedOn w:val="NormaleTabelle"/>
    <w:rsid w:val="00C657AF"/>
    <w:pPr>
      <w:spacing w:line="36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3Zchn">
    <w:name w:val="Überschrift 3 Zchn"/>
    <w:basedOn w:val="Absatz-Standardschriftart"/>
    <w:link w:val="berschrift3"/>
    <w:rsid w:val="009E37CF"/>
    <w:rPr>
      <w:rFonts w:ascii="Calibri" w:hAnsi="Calibri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yperlink" Target="http://www.facebook.com/schulergroup" TargetMode="External"/><Relationship Id="rId18" Type="http://schemas.openxmlformats.org/officeDocument/2006/relationships/image" Target="media/image4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linkedin.com/companies/schuler-group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://www.youtube.com/schulergroup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ulergroup.com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twitter.com/schulergroup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schulergroup.com/Hydraulic_Press" TargetMode="External"/><Relationship Id="rId19" Type="http://schemas.openxmlformats.org/officeDocument/2006/relationships/hyperlink" Target="http://www.xing.com/companies/schulergrou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image" Target="media/image2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524</Words>
  <Characters>4322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4837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16</cp:revision>
  <cp:lastPrinted>2014-01-15T15:59:00Z</cp:lastPrinted>
  <dcterms:created xsi:type="dcterms:W3CDTF">2014-11-24T13:58:00Z</dcterms:created>
  <dcterms:modified xsi:type="dcterms:W3CDTF">2014-12-09T15:16:00Z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-433579479</vt:i4>
  </property>
  <property fmtid="{D5CDD505-2E9C-101B-9397-08002B2CF9AE}" pid="3" name="_NewReviewCycle">
    <vt:lpwstr/>
  </property>
  <property fmtid="{D5CDD505-2E9C-101B-9397-08002B2CF9AE}" pid="4" name="_EmailSubject">
    <vt:lpwstr>Broschüre D &amp; E</vt:lpwstr>
  </property>
  <property fmtid="{D5CDD505-2E9C-101B-9397-08002B2CF9AE}" pid="5" name="_AuthorEmail">
    <vt:lpwstr>Simon.Scherrenbacher@schulergroup.com</vt:lpwstr>
  </property>
  <property fmtid="{D5CDD505-2E9C-101B-9397-08002B2CF9AE}" pid="6" name="_AuthorEmailDisplayName">
    <vt:lpwstr>Scherrenbacher, Simon &lt;Simon.Scherrenbacher@schulergroup.com&gt;</vt:lpwstr>
  </property>
</Properties>
</file>