
<file path=[Content_Types].xml><?xml version="1.0" encoding="utf-8"?>
<Types xmlns="http://schemas.openxmlformats.org/package/2006/content-types"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5D96" w:rsidRDefault="00F7676C" w:rsidP="00365A9E">
      <w:pPr>
        <w:pStyle w:val="berschrift1"/>
      </w:pPr>
      <w:r w:rsidRPr="007E132D">
        <w:t>PRESSEMITTEILUNG</w:t>
      </w:r>
    </w:p>
    <w:tbl>
      <w:tblPr>
        <w:tblpPr w:leftFromText="284" w:topFromText="9" w:bottomFromText="190" w:vertAnchor="page" w:horzAnchor="page" w:tblpX="8223" w:tblpY="2927"/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09"/>
      </w:tblGrid>
      <w:tr w:rsidR="004C4B30" w:rsidRPr="004C4B30" w:rsidTr="008E1F8F">
        <w:trPr>
          <w:trHeight w:hRule="exact" w:val="2977"/>
        </w:trPr>
        <w:tc>
          <w:tcPr>
            <w:tcW w:w="2409" w:type="dxa"/>
            <w:shd w:val="clear" w:color="auto" w:fill="auto"/>
          </w:tcPr>
          <w:p w:rsidR="004C4B30" w:rsidRPr="004C4B30" w:rsidRDefault="004C4B30" w:rsidP="008E1F8F">
            <w:pPr>
              <w:spacing w:line="226" w:lineRule="exact"/>
              <w:rPr>
                <w:rFonts w:eastAsia="Calibri"/>
                <w:b/>
                <w:sz w:val="17"/>
                <w:szCs w:val="17"/>
                <w:lang w:eastAsia="en-US"/>
              </w:rPr>
            </w:pPr>
            <w:r w:rsidRPr="004C4B30">
              <w:rPr>
                <w:rFonts w:eastAsia="Calibri"/>
                <w:b/>
                <w:sz w:val="17"/>
                <w:szCs w:val="17"/>
                <w:lang w:eastAsia="en-US"/>
              </w:rPr>
              <w:t>Schuler AG</w:t>
            </w:r>
          </w:p>
          <w:p w:rsidR="004C4B30" w:rsidRPr="004C4B30" w:rsidRDefault="004C4B30" w:rsidP="008E1F8F">
            <w:pPr>
              <w:spacing w:line="226" w:lineRule="exact"/>
              <w:rPr>
                <w:rFonts w:eastAsia="Calibri"/>
                <w:sz w:val="17"/>
                <w:szCs w:val="17"/>
                <w:lang w:eastAsia="en-US"/>
              </w:rPr>
            </w:pPr>
            <w:r w:rsidRPr="004C4B30">
              <w:rPr>
                <w:rFonts w:eastAsia="Calibri"/>
                <w:sz w:val="17"/>
                <w:szCs w:val="17"/>
                <w:lang w:eastAsia="en-US"/>
              </w:rPr>
              <w:t>Bahnhofstraße 41</w:t>
            </w:r>
          </w:p>
          <w:p w:rsidR="004C4B30" w:rsidRPr="004C4B30" w:rsidRDefault="004C4B30" w:rsidP="008E1F8F">
            <w:pPr>
              <w:spacing w:line="226" w:lineRule="exact"/>
              <w:rPr>
                <w:rFonts w:eastAsia="Calibri"/>
                <w:sz w:val="17"/>
                <w:szCs w:val="17"/>
                <w:lang w:eastAsia="en-US"/>
              </w:rPr>
            </w:pPr>
            <w:r w:rsidRPr="004C4B30">
              <w:rPr>
                <w:rFonts w:eastAsia="Calibri"/>
                <w:sz w:val="17"/>
                <w:szCs w:val="17"/>
                <w:lang w:eastAsia="en-US"/>
              </w:rPr>
              <w:t>73033 Göppingen</w:t>
            </w:r>
          </w:p>
          <w:p w:rsidR="004C4B30" w:rsidRPr="004C4B30" w:rsidRDefault="004C4B30" w:rsidP="008E1F8F">
            <w:pPr>
              <w:spacing w:line="226" w:lineRule="exact"/>
              <w:rPr>
                <w:rFonts w:eastAsia="Calibri"/>
                <w:sz w:val="17"/>
                <w:szCs w:val="17"/>
                <w:lang w:eastAsia="en-US"/>
              </w:rPr>
            </w:pPr>
          </w:p>
          <w:p w:rsidR="004C4B30" w:rsidRPr="008E1F8F" w:rsidRDefault="005F6D99" w:rsidP="008E1F8F">
            <w:pPr>
              <w:spacing w:line="226" w:lineRule="exact"/>
              <w:rPr>
                <w:rFonts w:eastAsia="Calibri"/>
                <w:b/>
                <w:sz w:val="17"/>
                <w:szCs w:val="17"/>
                <w:lang w:eastAsia="en-US"/>
              </w:rPr>
            </w:pPr>
            <w:r>
              <w:rPr>
                <w:rFonts w:eastAsia="Calibri"/>
                <w:b/>
                <w:sz w:val="17"/>
                <w:szCs w:val="17"/>
                <w:lang w:eastAsia="en-US"/>
              </w:rPr>
              <w:t>Ingo Schnaitmann</w:t>
            </w:r>
          </w:p>
          <w:p w:rsidR="004C4B30" w:rsidRPr="004C4B30" w:rsidRDefault="004C4B30" w:rsidP="008E1F8F">
            <w:pPr>
              <w:spacing w:line="226" w:lineRule="exact"/>
              <w:rPr>
                <w:rFonts w:eastAsia="Calibri"/>
                <w:sz w:val="17"/>
                <w:szCs w:val="17"/>
                <w:lang w:eastAsia="en-US"/>
              </w:rPr>
            </w:pPr>
            <w:r w:rsidRPr="008E1F8F">
              <w:rPr>
                <w:rFonts w:eastAsia="Calibri"/>
                <w:sz w:val="17"/>
                <w:szCs w:val="17"/>
                <w:lang w:eastAsia="en-US"/>
              </w:rPr>
              <w:t>Unternehmenskommunikation</w:t>
            </w:r>
          </w:p>
          <w:p w:rsidR="004C4B30" w:rsidRPr="004C4B30" w:rsidRDefault="004C4B30" w:rsidP="008E1F8F">
            <w:pPr>
              <w:spacing w:line="226" w:lineRule="exact"/>
              <w:rPr>
                <w:rFonts w:eastAsia="Calibri"/>
                <w:sz w:val="17"/>
                <w:szCs w:val="17"/>
                <w:lang w:eastAsia="en-US"/>
              </w:rPr>
            </w:pPr>
            <w:r w:rsidRPr="004C4B30">
              <w:rPr>
                <w:rFonts w:eastAsia="Calibri"/>
                <w:sz w:val="17"/>
                <w:szCs w:val="17"/>
                <w:lang w:eastAsia="en-US"/>
              </w:rPr>
              <w:t>Telefon +49 7161 66-</w:t>
            </w:r>
            <w:r w:rsidR="005F6D99">
              <w:rPr>
                <w:rFonts w:eastAsia="Calibri"/>
                <w:sz w:val="17"/>
                <w:szCs w:val="17"/>
                <w:lang w:eastAsia="en-US"/>
              </w:rPr>
              <w:t>201</w:t>
            </w:r>
          </w:p>
          <w:p w:rsidR="004C4B30" w:rsidRPr="004C4B30" w:rsidRDefault="004C4B30" w:rsidP="008E1F8F">
            <w:pPr>
              <w:spacing w:line="226" w:lineRule="exact"/>
              <w:rPr>
                <w:rFonts w:eastAsia="Calibri"/>
                <w:sz w:val="17"/>
                <w:szCs w:val="17"/>
                <w:lang w:eastAsia="en-US"/>
              </w:rPr>
            </w:pPr>
            <w:r w:rsidRPr="004C4B30">
              <w:rPr>
                <w:rFonts w:eastAsia="Calibri"/>
                <w:sz w:val="17"/>
                <w:szCs w:val="17"/>
                <w:lang w:eastAsia="en-US"/>
              </w:rPr>
              <w:t>Fax +49 7161 66-907</w:t>
            </w:r>
          </w:p>
          <w:p w:rsidR="004C4B30" w:rsidRPr="004C4B30" w:rsidRDefault="00DA56E9" w:rsidP="008E1F8F">
            <w:pPr>
              <w:spacing w:line="226" w:lineRule="exact"/>
              <w:rPr>
                <w:rFonts w:eastAsia="Calibri"/>
                <w:sz w:val="17"/>
                <w:szCs w:val="17"/>
                <w:lang w:eastAsia="en-US"/>
              </w:rPr>
            </w:pPr>
            <w:hyperlink r:id="rId9" w:history="1">
              <w:r w:rsidR="005F6D99" w:rsidRPr="00EF5D9C">
                <w:rPr>
                  <w:rStyle w:val="Hyperlink"/>
                  <w:rFonts w:eastAsia="Calibri"/>
                  <w:sz w:val="17"/>
                  <w:szCs w:val="17"/>
                  <w:lang w:eastAsia="en-US"/>
                </w:rPr>
                <w:t>Ingo.Schnaitmann@</w:t>
              </w:r>
              <w:r w:rsidR="005F6D99" w:rsidRPr="00EF5D9C">
                <w:rPr>
                  <w:rStyle w:val="Hyperlink"/>
                  <w:rFonts w:eastAsia="Calibri"/>
                  <w:sz w:val="17"/>
                  <w:szCs w:val="17"/>
                  <w:lang w:eastAsia="en-US"/>
                </w:rPr>
                <w:br/>
                <w:t>schulergroup.com</w:t>
              </w:r>
            </w:hyperlink>
          </w:p>
          <w:p w:rsidR="004C4B30" w:rsidRPr="004C4B30" w:rsidRDefault="00DA56E9" w:rsidP="008E1F8F">
            <w:pPr>
              <w:spacing w:line="226" w:lineRule="exact"/>
              <w:rPr>
                <w:rFonts w:eastAsia="Calibri"/>
                <w:sz w:val="17"/>
                <w:szCs w:val="17"/>
                <w:lang w:eastAsia="en-US"/>
              </w:rPr>
            </w:pPr>
            <w:hyperlink r:id="rId10" w:history="1">
              <w:r w:rsidR="004C4B30" w:rsidRPr="008E1F8F">
                <w:rPr>
                  <w:rStyle w:val="Hyperlink"/>
                  <w:rFonts w:eastAsia="Calibri"/>
                  <w:sz w:val="17"/>
                  <w:szCs w:val="17"/>
                  <w:lang w:eastAsia="en-US"/>
                </w:rPr>
                <w:t>www.schulergroup.com/pr</w:t>
              </w:r>
            </w:hyperlink>
          </w:p>
        </w:tc>
      </w:tr>
    </w:tbl>
    <w:p w:rsidR="007E1606" w:rsidRDefault="007E1606" w:rsidP="007E132D"/>
    <w:p w:rsidR="00476D9C" w:rsidRDefault="00476D9C" w:rsidP="007E132D"/>
    <w:p w:rsidR="00476D9C" w:rsidRDefault="00476D9C" w:rsidP="007E132D"/>
    <w:p w:rsidR="00476D9C" w:rsidRDefault="00476D9C" w:rsidP="007E132D"/>
    <w:p w:rsidR="00476D9C" w:rsidRPr="00476D9C" w:rsidRDefault="00563A40" w:rsidP="00365A9E">
      <w:pPr>
        <w:pStyle w:val="berschrift1"/>
        <w:rPr>
          <w:sz w:val="2"/>
        </w:rPr>
      </w:pPr>
      <w:r>
        <w:t xml:space="preserve">Schuler </w:t>
      </w:r>
      <w:r w:rsidR="00B46F0F">
        <w:t xml:space="preserve">wächst </w:t>
      </w:r>
      <w:r w:rsidR="00693559">
        <w:t>mit</w:t>
      </w:r>
      <w:r w:rsidR="00B46F0F">
        <w:t xml:space="preserve"> neue</w:t>
      </w:r>
      <w:r w:rsidR="00693559">
        <w:t>n</w:t>
      </w:r>
      <w:r w:rsidR="00B46F0F">
        <w:t xml:space="preserve"> Produkte</w:t>
      </w:r>
      <w:r w:rsidR="00693559">
        <w:t>n</w:t>
      </w:r>
    </w:p>
    <w:p w:rsidR="002C7F83" w:rsidRDefault="00AE4791" w:rsidP="00C82B81">
      <w:pPr>
        <w:rPr>
          <w:i/>
        </w:rPr>
      </w:pPr>
      <w:r>
        <w:rPr>
          <w:rFonts w:cs="Arial"/>
          <w:b/>
          <w:szCs w:val="24"/>
        </w:rPr>
        <w:t>10</w:t>
      </w:r>
      <w:r w:rsidR="00895500">
        <w:rPr>
          <w:rFonts w:cs="Arial"/>
          <w:b/>
          <w:szCs w:val="24"/>
        </w:rPr>
        <w:t>-</w:t>
      </w:r>
      <w:r>
        <w:rPr>
          <w:rFonts w:cs="Arial"/>
          <w:b/>
          <w:szCs w:val="24"/>
        </w:rPr>
        <w:t xml:space="preserve">prozentiger Zuwachs bei </w:t>
      </w:r>
      <w:r w:rsidR="00563A40" w:rsidRPr="00563A40">
        <w:rPr>
          <w:rFonts w:cs="Arial"/>
          <w:b/>
          <w:szCs w:val="24"/>
        </w:rPr>
        <w:t>Auftrags</w:t>
      </w:r>
      <w:r>
        <w:rPr>
          <w:rFonts w:cs="Arial"/>
          <w:b/>
          <w:szCs w:val="24"/>
        </w:rPr>
        <w:t>eingang und Ergebni</w:t>
      </w:r>
      <w:r w:rsidR="00563A40">
        <w:rPr>
          <w:rFonts w:cs="Arial"/>
          <w:b/>
          <w:szCs w:val="24"/>
        </w:rPr>
        <w:t>s</w:t>
      </w:r>
      <w:r w:rsidR="002C7F83">
        <w:rPr>
          <w:rFonts w:cs="Arial"/>
          <w:b/>
          <w:szCs w:val="24"/>
        </w:rPr>
        <w:br/>
      </w:r>
    </w:p>
    <w:p w:rsidR="008677BE" w:rsidRDefault="00C82B81" w:rsidP="001F3C71">
      <w:pPr>
        <w:tabs>
          <w:tab w:val="right" w:pos="7920"/>
        </w:tabs>
        <w:rPr>
          <w:rFonts w:cs="Arial"/>
        </w:rPr>
      </w:pPr>
      <w:r>
        <w:rPr>
          <w:i/>
        </w:rPr>
        <w:t xml:space="preserve">Göppingen, </w:t>
      </w:r>
      <w:r w:rsidR="008D5BBB">
        <w:rPr>
          <w:i/>
        </w:rPr>
        <w:t>07</w:t>
      </w:r>
      <w:r w:rsidR="005833D5">
        <w:rPr>
          <w:i/>
        </w:rPr>
        <w:t>.</w:t>
      </w:r>
      <w:r w:rsidR="008D5BBB">
        <w:rPr>
          <w:i/>
        </w:rPr>
        <w:t>08</w:t>
      </w:r>
      <w:r w:rsidR="005833D5" w:rsidRPr="005833D5">
        <w:rPr>
          <w:i/>
        </w:rPr>
        <w:t>.201</w:t>
      </w:r>
      <w:r w:rsidR="005833D5">
        <w:rPr>
          <w:i/>
        </w:rPr>
        <w:t>4</w:t>
      </w:r>
      <w:r w:rsidR="005833D5" w:rsidRPr="005833D5">
        <w:rPr>
          <w:i/>
        </w:rPr>
        <w:t xml:space="preserve"> </w:t>
      </w:r>
      <w:r w:rsidR="000F2F77">
        <w:t>–</w:t>
      </w:r>
      <w:r w:rsidR="005833D5">
        <w:t xml:space="preserve"> </w:t>
      </w:r>
      <w:r w:rsidR="00563A40">
        <w:t xml:space="preserve">Der Pressenhersteller Schuler hat </w:t>
      </w:r>
      <w:r w:rsidR="00CA167A">
        <w:t xml:space="preserve">mit neuen Produkten und </w:t>
      </w:r>
      <w:r w:rsidR="00563A40">
        <w:t>dank einer hohen Nachfrage in Asien und Amerika</w:t>
      </w:r>
      <w:r w:rsidR="00B46F0F">
        <w:t xml:space="preserve"> </w:t>
      </w:r>
      <w:r w:rsidR="00563A40">
        <w:t xml:space="preserve">in den ersten sechs Monaten zugelegt. Der </w:t>
      </w:r>
      <w:r w:rsidR="00A94FEE">
        <w:t xml:space="preserve">Auftragseingang stieg </w:t>
      </w:r>
      <w:r w:rsidR="008D5BBB">
        <w:t xml:space="preserve">im Vergleich zum Vorjahreszeitraum </w:t>
      </w:r>
      <w:r w:rsidR="00A94FEE">
        <w:t>um 10,5</w:t>
      </w:r>
      <w:r w:rsidR="002C7F83">
        <w:t xml:space="preserve"> Prozent auf 5</w:t>
      </w:r>
      <w:r w:rsidR="008A6CD6">
        <w:t>54,6 Millionen Euro</w:t>
      </w:r>
      <w:r w:rsidR="001F3C71">
        <w:t xml:space="preserve">. </w:t>
      </w:r>
      <w:r w:rsidR="0064260C">
        <w:t xml:space="preserve">Auch </w:t>
      </w:r>
      <w:r w:rsidR="008D5BBB">
        <w:t>das</w:t>
      </w:r>
      <w:r w:rsidR="0064260C">
        <w:t xml:space="preserve"> Konzernergebnis </w:t>
      </w:r>
      <w:r w:rsidR="008D5BBB">
        <w:t xml:space="preserve">konnte </w:t>
      </w:r>
      <w:r w:rsidR="0064260C">
        <w:t>das Unternehmen i</w:t>
      </w:r>
      <w:r w:rsidR="0064260C" w:rsidRPr="0082228D">
        <w:rPr>
          <w:rFonts w:cs="Arial"/>
        </w:rPr>
        <w:t xml:space="preserve">m ersten Halbjahr </w:t>
      </w:r>
      <w:r w:rsidR="0064260C">
        <w:rPr>
          <w:rFonts w:cs="Arial"/>
        </w:rPr>
        <w:t>aufgrund eines besser</w:t>
      </w:r>
      <w:r w:rsidR="00A2325C">
        <w:rPr>
          <w:rFonts w:cs="Arial"/>
        </w:rPr>
        <w:t>e</w:t>
      </w:r>
      <w:r w:rsidR="0064260C">
        <w:rPr>
          <w:rFonts w:cs="Arial"/>
        </w:rPr>
        <w:t>n Zinsergebnisses um 10,1</w:t>
      </w:r>
      <w:r w:rsidR="008D5BBB">
        <w:rPr>
          <w:rFonts w:cs="Arial"/>
        </w:rPr>
        <w:t xml:space="preserve"> Prozent </w:t>
      </w:r>
      <w:r w:rsidR="0064260C">
        <w:rPr>
          <w:rFonts w:cs="Arial"/>
        </w:rPr>
        <w:t>auf 25,1 Mi</w:t>
      </w:r>
      <w:r w:rsidR="008D5BBB">
        <w:rPr>
          <w:rFonts w:cs="Arial"/>
        </w:rPr>
        <w:t>llionen Euro erhöhen</w:t>
      </w:r>
      <w:r w:rsidR="0064260C">
        <w:t xml:space="preserve">. Das </w:t>
      </w:r>
      <w:r w:rsidR="0064260C" w:rsidRPr="0082228D">
        <w:rPr>
          <w:rFonts w:cs="Arial"/>
        </w:rPr>
        <w:t>operative</w:t>
      </w:r>
      <w:r w:rsidR="0064260C">
        <w:rPr>
          <w:rFonts w:cs="Arial"/>
        </w:rPr>
        <w:t xml:space="preserve"> Betriebsergebnis (EBITA) belief sich auf 39,6 Mi</w:t>
      </w:r>
      <w:r w:rsidR="008D5BBB">
        <w:rPr>
          <w:rFonts w:cs="Arial"/>
        </w:rPr>
        <w:t>llionen Euro</w:t>
      </w:r>
      <w:r w:rsidR="0064260C">
        <w:rPr>
          <w:rFonts w:cs="Arial"/>
        </w:rPr>
        <w:t xml:space="preserve">, die EBITA-Marge </w:t>
      </w:r>
      <w:r w:rsidR="00B46F0F">
        <w:rPr>
          <w:rFonts w:cs="Arial"/>
        </w:rPr>
        <w:t>beträgt</w:t>
      </w:r>
      <w:r w:rsidR="0064260C">
        <w:rPr>
          <w:rFonts w:cs="Arial"/>
        </w:rPr>
        <w:t xml:space="preserve"> 7,3</w:t>
      </w:r>
      <w:r w:rsidR="008D5BBB">
        <w:rPr>
          <w:rFonts w:cs="Arial"/>
        </w:rPr>
        <w:t xml:space="preserve"> Prozent.</w:t>
      </w:r>
    </w:p>
    <w:p w:rsidR="00685662" w:rsidRDefault="00685662" w:rsidP="001F3C71">
      <w:pPr>
        <w:tabs>
          <w:tab w:val="right" w:pos="7920"/>
        </w:tabs>
        <w:rPr>
          <w:rFonts w:cs="Arial"/>
        </w:rPr>
      </w:pPr>
    </w:p>
    <w:p w:rsidR="00E176DC" w:rsidRPr="00E176DC" w:rsidRDefault="002A2EE7" w:rsidP="0082228D">
      <w:pPr>
        <w:tabs>
          <w:tab w:val="right" w:pos="7920"/>
        </w:tabs>
        <w:rPr>
          <w:b/>
        </w:rPr>
      </w:pPr>
      <w:r>
        <w:rPr>
          <w:b/>
        </w:rPr>
        <w:t xml:space="preserve">Umsatz- und </w:t>
      </w:r>
      <w:r w:rsidR="00B46F0F">
        <w:rPr>
          <w:b/>
        </w:rPr>
        <w:t>Ergebnisprognose erhöht</w:t>
      </w:r>
    </w:p>
    <w:p w:rsidR="00AE4791" w:rsidRDefault="002A2EE7" w:rsidP="007E6801">
      <w:r>
        <w:t>Aufgrund des bisher guten Geschäftsverlaufs erhöht</w:t>
      </w:r>
      <w:r w:rsidR="00F46480">
        <w:t>e</w:t>
      </w:r>
      <w:r>
        <w:t xml:space="preserve"> der </w:t>
      </w:r>
      <w:r>
        <w:rPr>
          <w:rFonts w:cs="Arial"/>
        </w:rPr>
        <w:t xml:space="preserve">Anlagenbauer </w:t>
      </w:r>
      <w:r>
        <w:t>die Umsatz- und Ergebnisprogn</w:t>
      </w:r>
      <w:r w:rsidR="00F46480">
        <w:t xml:space="preserve">ose. Demnach erwartet </w:t>
      </w:r>
      <w:r>
        <w:t xml:space="preserve">Schuler </w:t>
      </w:r>
      <w:r w:rsidR="00F46480">
        <w:t xml:space="preserve">für das Geschäftsjahr 2014 einen </w:t>
      </w:r>
      <w:r>
        <w:t>Umsatz zwischen 1,1 und 1,2 Milliarden</w:t>
      </w:r>
      <w:r w:rsidR="007E6801">
        <w:t xml:space="preserve"> Euro bei </w:t>
      </w:r>
      <w:r>
        <w:t>einer EBITA-Marge von 7</w:t>
      </w:r>
      <w:r w:rsidR="007E6801">
        <w:t xml:space="preserve"> bis </w:t>
      </w:r>
      <w:r>
        <w:t>8</w:t>
      </w:r>
      <w:r w:rsidR="007E6801">
        <w:t xml:space="preserve"> Prozent</w:t>
      </w:r>
      <w:r w:rsidR="00F46480">
        <w:t>. Bisher</w:t>
      </w:r>
      <w:r w:rsidR="007E6801">
        <w:t xml:space="preserve"> </w:t>
      </w:r>
      <w:r w:rsidR="00F46480">
        <w:t xml:space="preserve">rechnete das Unternehmen mit einem </w:t>
      </w:r>
      <w:r w:rsidR="007E6801">
        <w:t xml:space="preserve">Umsatz von rund </w:t>
      </w:r>
      <w:r w:rsidR="00720730">
        <w:t>1,1 Milliarden Euro</w:t>
      </w:r>
      <w:r>
        <w:t xml:space="preserve"> </w:t>
      </w:r>
      <w:r w:rsidR="007E6801">
        <w:t xml:space="preserve">und </w:t>
      </w:r>
      <w:r w:rsidR="00AC04BB">
        <w:t xml:space="preserve">einer </w:t>
      </w:r>
      <w:r>
        <w:t>EBITA-Marge von 6</w:t>
      </w:r>
      <w:r w:rsidR="007E6801">
        <w:t xml:space="preserve"> bis </w:t>
      </w:r>
      <w:r>
        <w:t>7</w:t>
      </w:r>
      <w:r w:rsidR="007E6801">
        <w:t xml:space="preserve"> Prozent</w:t>
      </w:r>
      <w:r>
        <w:t xml:space="preserve">. </w:t>
      </w:r>
      <w:r w:rsidR="00F46480">
        <w:t xml:space="preserve">Zur Jahresmitte lag der Umsatz mit 540,2 Millionen Euro projektbedingt noch leicht unter dem Vorjahr. </w:t>
      </w:r>
      <w:r w:rsidR="0082228D">
        <w:t xml:space="preserve">Der Auftragsbestand von rund 1,1 Milliarden Euro sichert </w:t>
      </w:r>
      <w:r w:rsidR="00F46480">
        <w:t xml:space="preserve">Schuler </w:t>
      </w:r>
      <w:r w:rsidR="008677BE">
        <w:t xml:space="preserve">die </w:t>
      </w:r>
      <w:r w:rsidR="0082228D">
        <w:t>Auslastung bis in</w:t>
      </w:r>
      <w:r w:rsidR="007E6801">
        <w:t>s</w:t>
      </w:r>
      <w:r w:rsidR="0082228D">
        <w:t xml:space="preserve"> Jahr 2015</w:t>
      </w:r>
      <w:r w:rsidR="0064260C">
        <w:t>.</w:t>
      </w:r>
    </w:p>
    <w:p w:rsidR="00AE4791" w:rsidRDefault="00AE4791" w:rsidP="0082228D">
      <w:pPr>
        <w:tabs>
          <w:tab w:val="right" w:pos="7920"/>
        </w:tabs>
      </w:pPr>
    </w:p>
    <w:p w:rsidR="00D024F1" w:rsidRDefault="00965BBD" w:rsidP="0082228D">
      <w:pPr>
        <w:tabs>
          <w:tab w:val="right" w:pos="7920"/>
        </w:tabs>
        <w:rPr>
          <w:rFonts w:cs="Arial"/>
        </w:rPr>
      </w:pPr>
      <w:r>
        <w:lastRenderedPageBreak/>
        <w:t>„</w:t>
      </w:r>
      <w:r w:rsidR="00F22F66">
        <w:t xml:space="preserve">Mit zwei Großaufträgen für die Lieferung von Spiralrohranlagen für Pipelines und mehreren </w:t>
      </w:r>
      <w:r w:rsidR="007E6801">
        <w:t xml:space="preserve">Aufträgen für </w:t>
      </w:r>
      <w:r w:rsidR="00F22F66">
        <w:t>Servopressen der neuesten Bauart haben wir erfolgreich neue Kunden und Märk</w:t>
      </w:r>
      <w:r w:rsidR="00986782">
        <w:t>t</w:t>
      </w:r>
      <w:r w:rsidR="00F22F66">
        <w:t>e erschlossen“</w:t>
      </w:r>
      <w:r>
        <w:t xml:space="preserve">, </w:t>
      </w:r>
      <w:r w:rsidR="00A2325C">
        <w:t>sagte</w:t>
      </w:r>
      <w:r>
        <w:t xml:space="preserve"> Schuler</w:t>
      </w:r>
      <w:r w:rsidR="008D5BBB">
        <w:t>-</w:t>
      </w:r>
      <w:r>
        <w:t>Vorstandschef Stefan</w:t>
      </w:r>
      <w:r w:rsidR="000977BF">
        <w:t xml:space="preserve"> </w:t>
      </w:r>
      <w:r>
        <w:t>Klebert</w:t>
      </w:r>
      <w:r w:rsidR="00A2325C">
        <w:t xml:space="preserve"> bei der Vorlage der Halbjahreszahlen</w:t>
      </w:r>
      <w:r w:rsidR="00895500">
        <w:t>.</w:t>
      </w:r>
      <w:r w:rsidR="00F22F66">
        <w:br/>
      </w:r>
      <w:r w:rsidR="00F22F66">
        <w:br/>
      </w:r>
      <w:r w:rsidR="00A949A3">
        <w:t xml:space="preserve">Schuler </w:t>
      </w:r>
      <w:r w:rsidR="00895500">
        <w:t xml:space="preserve">hat </w:t>
      </w:r>
      <w:r w:rsidR="00A949A3">
        <w:t xml:space="preserve">in den vergangenen Jahren </w:t>
      </w:r>
      <w:r w:rsidR="00685662">
        <w:t>die Internationalisierung</w:t>
      </w:r>
      <w:r w:rsidR="00895500">
        <w:t xml:space="preserve"> </w:t>
      </w:r>
      <w:r w:rsidR="00F22F66">
        <w:t xml:space="preserve">des Konzerns </w:t>
      </w:r>
      <w:r w:rsidR="00895500">
        <w:t xml:space="preserve">stark </w:t>
      </w:r>
      <w:r w:rsidR="00685662">
        <w:t>vorangetrieben</w:t>
      </w:r>
      <w:r w:rsidR="00895500">
        <w:t xml:space="preserve">. </w:t>
      </w:r>
      <w:r w:rsidR="00F22F66">
        <w:t xml:space="preserve">So entstand </w:t>
      </w:r>
      <w:r w:rsidR="00A949A3">
        <w:t>in Dalian</w:t>
      </w:r>
      <w:r w:rsidR="007E6801">
        <w:t xml:space="preserve">, </w:t>
      </w:r>
      <w:r w:rsidR="00693559">
        <w:t>China</w:t>
      </w:r>
      <w:r w:rsidR="007E6801">
        <w:t xml:space="preserve">, </w:t>
      </w:r>
      <w:r w:rsidR="00895500">
        <w:t>ein großes Produktionswerk</w:t>
      </w:r>
      <w:r w:rsidR="007E6801">
        <w:t xml:space="preserve">. </w:t>
      </w:r>
      <w:r w:rsidR="00F46480">
        <w:t xml:space="preserve">In der </w:t>
      </w:r>
      <w:r w:rsidR="00F46480" w:rsidRPr="007E264D">
        <w:t>nordchinesischen Hafenstadt Tianjin</w:t>
      </w:r>
      <w:r w:rsidR="00F46480">
        <w:t xml:space="preserve"> befindet sich derzeit e</w:t>
      </w:r>
      <w:r w:rsidR="00895500">
        <w:t xml:space="preserve">in Vorführzentrum </w:t>
      </w:r>
      <w:r w:rsidR="00A949A3">
        <w:t>im Bau</w:t>
      </w:r>
      <w:r w:rsidR="007E264D" w:rsidRPr="007E264D">
        <w:t xml:space="preserve">. </w:t>
      </w:r>
      <w:r w:rsidR="006C681D">
        <w:t>„</w:t>
      </w:r>
      <w:r w:rsidR="00693559">
        <w:t>Wir verzeichnen eine gute Projektaktivität. In unseren Märkten wird investi</w:t>
      </w:r>
      <w:r w:rsidR="006C681D">
        <w:t>e</w:t>
      </w:r>
      <w:r w:rsidR="00693559">
        <w:t xml:space="preserve">rt und wir haben weltweit </w:t>
      </w:r>
      <w:r w:rsidR="009D7BCE">
        <w:t xml:space="preserve">zunehmend </w:t>
      </w:r>
      <w:r w:rsidR="007E6801">
        <w:t xml:space="preserve">eine </w:t>
      </w:r>
      <w:r w:rsidR="00693559">
        <w:t>stärkere Position“, erklärte Klebert weiter.</w:t>
      </w:r>
      <w:r w:rsidR="00D25001">
        <w:t xml:space="preserve"> </w:t>
      </w:r>
      <w:r w:rsidR="00A949A3">
        <w:t>„</w:t>
      </w:r>
      <w:r w:rsidR="00D024F1">
        <w:t>Wir sind daher</w:t>
      </w:r>
      <w:r w:rsidR="008677BE" w:rsidRPr="008677BE">
        <w:rPr>
          <w:rFonts w:cs="Arial"/>
        </w:rPr>
        <w:t xml:space="preserve"> zuversichtlich, </w:t>
      </w:r>
      <w:r w:rsidR="00D024F1">
        <w:rPr>
          <w:rFonts w:cs="Arial"/>
        </w:rPr>
        <w:t xml:space="preserve">unsere </w:t>
      </w:r>
      <w:r w:rsidR="006C681D">
        <w:rPr>
          <w:rFonts w:cs="Arial"/>
        </w:rPr>
        <w:t>erhöhten</w:t>
      </w:r>
      <w:r w:rsidR="008677BE" w:rsidRPr="008677BE">
        <w:rPr>
          <w:rFonts w:cs="Arial"/>
        </w:rPr>
        <w:t xml:space="preserve"> Ziele für das Gesamtjahr zu erreichen, sofern sich die Rahmen</w:t>
      </w:r>
      <w:r w:rsidR="00A2325C">
        <w:rPr>
          <w:rFonts w:cs="Arial"/>
        </w:rPr>
        <w:t>b</w:t>
      </w:r>
      <w:r w:rsidR="008677BE" w:rsidRPr="008677BE">
        <w:rPr>
          <w:rFonts w:cs="Arial"/>
        </w:rPr>
        <w:t>edingungen nicht deutlich verschlechtern</w:t>
      </w:r>
      <w:r w:rsidR="00D024F1">
        <w:rPr>
          <w:rFonts w:cs="Arial"/>
        </w:rPr>
        <w:t>“, blickte er in Zukunft.</w:t>
      </w:r>
    </w:p>
    <w:p w:rsidR="00D024F1" w:rsidRDefault="00D024F1" w:rsidP="0082228D">
      <w:pPr>
        <w:tabs>
          <w:tab w:val="right" w:pos="7920"/>
        </w:tabs>
        <w:rPr>
          <w:rFonts w:cs="Arial"/>
        </w:rPr>
      </w:pPr>
    </w:p>
    <w:p w:rsidR="00E176DC" w:rsidRPr="00E176DC" w:rsidRDefault="00E176DC" w:rsidP="0082228D">
      <w:pPr>
        <w:tabs>
          <w:tab w:val="right" w:pos="7920"/>
        </w:tabs>
        <w:rPr>
          <w:b/>
        </w:rPr>
      </w:pPr>
      <w:r w:rsidRPr="00E176DC">
        <w:rPr>
          <w:b/>
        </w:rPr>
        <w:t>Eigenkapitalquote nahe 30 Prozent</w:t>
      </w:r>
    </w:p>
    <w:p w:rsidR="00E176DC" w:rsidRDefault="00D024F1" w:rsidP="0082228D">
      <w:pPr>
        <w:tabs>
          <w:tab w:val="right" w:pos="7920"/>
        </w:tabs>
      </w:pPr>
      <w:r>
        <w:t xml:space="preserve">Schuler erzielte </w:t>
      </w:r>
      <w:r w:rsidR="00EF5660">
        <w:t xml:space="preserve">im ersten Halbjahr </w:t>
      </w:r>
      <w:r>
        <w:t>einen positiven operativen Cashflow von</w:t>
      </w:r>
      <w:r w:rsidR="00C31659">
        <w:t xml:space="preserve"> 60,9 Millionen Euro nach -9,0 </w:t>
      </w:r>
      <w:r>
        <w:t>Millionen im Vorjahr</w:t>
      </w:r>
      <w:r w:rsidR="00AE4791">
        <w:t>eszeitraum</w:t>
      </w:r>
      <w:r w:rsidR="00720730">
        <w:t xml:space="preserve">. Der Anstieg geht </w:t>
      </w:r>
      <w:r>
        <w:t>auf den verstärkten Abbau des Net Working Capital zurück. Im gleichen Zeitraum verbesse</w:t>
      </w:r>
      <w:r w:rsidR="00AE4791">
        <w:t xml:space="preserve">rte sich der Nettofinanzstatus </w:t>
      </w:r>
      <w:r w:rsidR="00720730">
        <w:t>von 2</w:t>
      </w:r>
      <w:r w:rsidR="00AF19CA">
        <w:t>14,6</w:t>
      </w:r>
      <w:r w:rsidR="00720730">
        <w:t xml:space="preserve"> auf 323,7 </w:t>
      </w:r>
      <w:r>
        <w:t xml:space="preserve">Millionen Euro. Das Eigenkapital erhöhte sich aufgrund der Ertragsentwicklung um </w:t>
      </w:r>
      <w:r w:rsidR="001344D3">
        <w:t>6,6</w:t>
      </w:r>
      <w:r w:rsidR="00E176DC">
        <w:t xml:space="preserve"> Prozent auf 295,3 Millionen Euro. </w:t>
      </w:r>
      <w:r w:rsidR="00E176DC">
        <w:rPr>
          <w:rFonts w:cs="Arial"/>
        </w:rPr>
        <w:t>Die Eigenkap</w:t>
      </w:r>
      <w:r w:rsidR="00AE4791">
        <w:rPr>
          <w:rFonts w:cs="Arial"/>
        </w:rPr>
        <w:t>i</w:t>
      </w:r>
      <w:r w:rsidR="00E176DC">
        <w:rPr>
          <w:rFonts w:cs="Arial"/>
        </w:rPr>
        <w:t>talquote erreichte mit 29,2</w:t>
      </w:r>
      <w:r w:rsidR="00895500">
        <w:rPr>
          <w:rFonts w:cs="Arial"/>
        </w:rPr>
        <w:t xml:space="preserve"> Prozent</w:t>
      </w:r>
      <w:r w:rsidR="00E176DC">
        <w:rPr>
          <w:rFonts w:cs="Arial"/>
        </w:rPr>
        <w:t xml:space="preserve"> nahezu die</w:t>
      </w:r>
      <w:r w:rsidR="00720730">
        <w:rPr>
          <w:rFonts w:cs="Arial"/>
        </w:rPr>
        <w:t xml:space="preserve"> 30-Prozent-Marke.</w:t>
      </w:r>
    </w:p>
    <w:p w:rsidR="00AE4791" w:rsidRDefault="00AE4791" w:rsidP="00E176DC">
      <w:pPr>
        <w:tabs>
          <w:tab w:val="right" w:pos="7920"/>
        </w:tabs>
      </w:pPr>
    </w:p>
    <w:p w:rsidR="00C31659" w:rsidRDefault="00E176DC" w:rsidP="00D07892">
      <w:pPr>
        <w:tabs>
          <w:tab w:val="right" w:pos="7920"/>
        </w:tabs>
      </w:pPr>
      <w:r>
        <w:t>Ende Juni 2014 beschäftigte Schuler weltweit 5.470 Mitarbeiter</w:t>
      </w:r>
      <w:r w:rsidR="00D024F1">
        <w:t>.</w:t>
      </w:r>
      <w:r>
        <w:t xml:space="preserve"> Dies sind 1,8 Prozent weniger als </w:t>
      </w:r>
      <w:r w:rsidR="00F22F66">
        <w:t>im Vorjahreszeitraum</w:t>
      </w:r>
      <w:r>
        <w:t xml:space="preserve">. Der Rückgang um 98 Beschäftigte </w:t>
      </w:r>
      <w:r w:rsidR="00F22F66">
        <w:t xml:space="preserve">fand planmäßig </w:t>
      </w:r>
      <w:r>
        <w:t xml:space="preserve">in Deutschland </w:t>
      </w:r>
      <w:r w:rsidR="00EF5660">
        <w:t xml:space="preserve">(4.220 </w:t>
      </w:r>
      <w:r w:rsidR="00D07892">
        <w:t xml:space="preserve">Mitarbeiter </w:t>
      </w:r>
      <w:r w:rsidR="00C31659">
        <w:t xml:space="preserve">zum </w:t>
      </w:r>
    </w:p>
    <w:p w:rsidR="00C31659" w:rsidRDefault="00EF5660" w:rsidP="00E176DC">
      <w:pPr>
        <w:tabs>
          <w:tab w:val="right" w:pos="7920"/>
        </w:tabs>
        <w:rPr>
          <w:b/>
        </w:rPr>
      </w:pPr>
      <w:r>
        <w:lastRenderedPageBreak/>
        <w:t xml:space="preserve">30. Juni 2014) </w:t>
      </w:r>
      <w:r w:rsidR="00F22F66">
        <w:t>statt und konnte durch</w:t>
      </w:r>
      <w:r w:rsidR="00E176DC">
        <w:t xml:space="preserve"> altersbedingte Austritte und </w:t>
      </w:r>
      <w:r w:rsidR="00F22F66">
        <w:t>natürliche Fluktuation erreicht werden.</w:t>
      </w:r>
      <w:r>
        <w:t xml:space="preserve"> </w:t>
      </w:r>
    </w:p>
    <w:p w:rsidR="00C31659" w:rsidRDefault="00C31659" w:rsidP="00E176DC">
      <w:pPr>
        <w:tabs>
          <w:tab w:val="right" w:pos="7920"/>
        </w:tabs>
        <w:rPr>
          <w:b/>
        </w:rPr>
      </w:pPr>
    </w:p>
    <w:p w:rsidR="00EF5660" w:rsidRPr="00F830EC" w:rsidRDefault="00EF5660" w:rsidP="00E176DC">
      <w:pPr>
        <w:tabs>
          <w:tab w:val="right" w:pos="7920"/>
        </w:tabs>
        <w:rPr>
          <w:b/>
        </w:rPr>
      </w:pPr>
      <w:r w:rsidRPr="00F830EC">
        <w:rPr>
          <w:b/>
        </w:rPr>
        <w:t xml:space="preserve">Großbohrwerk in Erfurt eingeweiht </w:t>
      </w:r>
    </w:p>
    <w:p w:rsidR="00AE4791" w:rsidRDefault="00EF5660" w:rsidP="00E176DC">
      <w:pPr>
        <w:tabs>
          <w:tab w:val="right" w:pos="7920"/>
        </w:tabs>
      </w:pPr>
      <w:r>
        <w:t xml:space="preserve">Im Rahmen seines </w:t>
      </w:r>
      <w:r w:rsidR="00F830EC">
        <w:t xml:space="preserve">umfangreichen Investitionsprogrammes hatte </w:t>
      </w:r>
      <w:r w:rsidRPr="00EF5660">
        <w:t xml:space="preserve">Schuler </w:t>
      </w:r>
      <w:r w:rsidR="00F830EC">
        <w:t>im Juni</w:t>
      </w:r>
      <w:r w:rsidR="00A2325C">
        <w:t xml:space="preserve"> 2014</w:t>
      </w:r>
      <w:r w:rsidR="00F830EC">
        <w:t xml:space="preserve"> </w:t>
      </w:r>
      <w:r w:rsidRPr="00EF5660">
        <w:t>in Erfurt ein neues Großbohrwerk in Betrieb genommen. Mit einem Volumen von über sechs Millionen Euro</w:t>
      </w:r>
      <w:r w:rsidR="00F830EC">
        <w:t xml:space="preserve"> war </w:t>
      </w:r>
      <w:r w:rsidRPr="00EF5660">
        <w:t>die</w:t>
      </w:r>
      <w:r w:rsidR="00F830EC">
        <w:t>s die</w:t>
      </w:r>
      <w:r w:rsidRPr="00EF5660">
        <w:t xml:space="preserve"> bislang größte Einzelinvestition des Konzerns am thüringischen Standort. </w:t>
      </w:r>
      <w:r w:rsidR="00F830EC">
        <w:t>„</w:t>
      </w:r>
      <w:r w:rsidRPr="00EF5660">
        <w:t>Dadurch steigen die Produktivität und die Wettbewerbsfähigkeit des Standorts Erfurt deutlich</w:t>
      </w:r>
      <w:r w:rsidR="00AE4791">
        <w:t>“, so Klebert abschließend.</w:t>
      </w:r>
    </w:p>
    <w:p w:rsidR="00D07892" w:rsidRDefault="00D07892" w:rsidP="00E176DC">
      <w:pPr>
        <w:tabs>
          <w:tab w:val="right" w:pos="7920"/>
        </w:tabs>
      </w:pPr>
    </w:p>
    <w:p w:rsidR="00D07892" w:rsidRPr="00213BD4" w:rsidRDefault="00D07892" w:rsidP="00D07892">
      <w:r w:rsidRPr="00213BD4">
        <w:rPr>
          <w:b/>
        </w:rPr>
        <w:t>Schuler-Konzernkennzahlen</w:t>
      </w:r>
      <w:r>
        <w:rPr>
          <w:b/>
        </w:rPr>
        <w:t xml:space="preserve"> (IFRS)</w:t>
      </w:r>
      <w:r w:rsidRPr="00213BD4">
        <w:rPr>
          <w:b/>
        </w:rPr>
        <w:t xml:space="preserve">: </w:t>
      </w:r>
    </w:p>
    <w:tbl>
      <w:tblPr>
        <w:tblW w:w="73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64"/>
        <w:gridCol w:w="933"/>
        <w:gridCol w:w="2056"/>
        <w:gridCol w:w="1985"/>
      </w:tblGrid>
      <w:tr w:rsidR="00D07892" w:rsidRPr="00213BD4" w:rsidTr="009B2854">
        <w:tc>
          <w:tcPr>
            <w:tcW w:w="2364" w:type="dxa"/>
            <w:shd w:val="clear" w:color="auto" w:fill="auto"/>
          </w:tcPr>
          <w:p w:rsidR="00D07892" w:rsidRPr="00213BD4" w:rsidRDefault="00D07892" w:rsidP="009B2854"/>
        </w:tc>
        <w:tc>
          <w:tcPr>
            <w:tcW w:w="933" w:type="dxa"/>
            <w:shd w:val="clear" w:color="auto" w:fill="auto"/>
          </w:tcPr>
          <w:p w:rsidR="00D07892" w:rsidRPr="00213BD4" w:rsidRDefault="00D07892" w:rsidP="009B2854"/>
        </w:tc>
        <w:tc>
          <w:tcPr>
            <w:tcW w:w="2056" w:type="dxa"/>
            <w:shd w:val="clear" w:color="auto" w:fill="auto"/>
          </w:tcPr>
          <w:p w:rsidR="00D07892" w:rsidRPr="00213BD4" w:rsidRDefault="00D07892" w:rsidP="009B2854">
            <w:pPr>
              <w:rPr>
                <w:b/>
              </w:rPr>
            </w:pPr>
            <w:r w:rsidRPr="00213BD4">
              <w:rPr>
                <w:b/>
              </w:rPr>
              <w:t xml:space="preserve">01.01. - </w:t>
            </w:r>
            <w:r>
              <w:rPr>
                <w:b/>
              </w:rPr>
              <w:t>30</w:t>
            </w:r>
            <w:r w:rsidRPr="00213BD4">
              <w:rPr>
                <w:b/>
              </w:rPr>
              <w:t>.0</w:t>
            </w:r>
            <w:r>
              <w:rPr>
                <w:b/>
              </w:rPr>
              <w:t>6</w:t>
            </w:r>
            <w:r w:rsidRPr="00213BD4">
              <w:rPr>
                <w:b/>
              </w:rPr>
              <w:t>.2014</w:t>
            </w:r>
          </w:p>
        </w:tc>
        <w:tc>
          <w:tcPr>
            <w:tcW w:w="1985" w:type="dxa"/>
            <w:shd w:val="clear" w:color="auto" w:fill="auto"/>
          </w:tcPr>
          <w:p w:rsidR="00D07892" w:rsidRPr="00213BD4" w:rsidRDefault="00D07892" w:rsidP="000977BF">
            <w:r w:rsidRPr="00213BD4">
              <w:t xml:space="preserve">01.01. - </w:t>
            </w:r>
            <w:r>
              <w:t>30</w:t>
            </w:r>
            <w:r w:rsidRPr="00213BD4">
              <w:t>.0</w:t>
            </w:r>
            <w:r>
              <w:t>6</w:t>
            </w:r>
            <w:r w:rsidRPr="00213BD4">
              <w:t>.201</w:t>
            </w:r>
            <w:r w:rsidR="000977BF">
              <w:t>3</w:t>
            </w:r>
          </w:p>
        </w:tc>
      </w:tr>
      <w:tr w:rsidR="00D07892" w:rsidRPr="00213BD4" w:rsidTr="009B2854">
        <w:tc>
          <w:tcPr>
            <w:tcW w:w="2364" w:type="dxa"/>
            <w:shd w:val="clear" w:color="auto" w:fill="auto"/>
          </w:tcPr>
          <w:p w:rsidR="00D07892" w:rsidRPr="00213BD4" w:rsidRDefault="00D07892" w:rsidP="009B2854">
            <w:r w:rsidRPr="00213BD4">
              <w:t>Umsatz</w:t>
            </w:r>
          </w:p>
        </w:tc>
        <w:tc>
          <w:tcPr>
            <w:tcW w:w="933" w:type="dxa"/>
            <w:shd w:val="clear" w:color="auto" w:fill="auto"/>
          </w:tcPr>
          <w:p w:rsidR="00D07892" w:rsidRPr="00213BD4" w:rsidRDefault="00D07892" w:rsidP="009B2854">
            <w:r w:rsidRPr="00213BD4">
              <w:t>Mio. €</w:t>
            </w:r>
          </w:p>
        </w:tc>
        <w:tc>
          <w:tcPr>
            <w:tcW w:w="2056" w:type="dxa"/>
            <w:shd w:val="clear" w:color="auto" w:fill="auto"/>
          </w:tcPr>
          <w:p w:rsidR="00D07892" w:rsidRPr="00213BD4" w:rsidRDefault="00D07892" w:rsidP="009B2854">
            <w:pPr>
              <w:rPr>
                <w:b/>
              </w:rPr>
            </w:pPr>
            <w:r>
              <w:rPr>
                <w:b/>
              </w:rPr>
              <w:t>540,2</w:t>
            </w:r>
          </w:p>
        </w:tc>
        <w:tc>
          <w:tcPr>
            <w:tcW w:w="1985" w:type="dxa"/>
            <w:shd w:val="clear" w:color="auto" w:fill="auto"/>
          </w:tcPr>
          <w:p w:rsidR="00D07892" w:rsidRPr="00213BD4" w:rsidRDefault="00D07892" w:rsidP="009B2854">
            <w:r>
              <w:t>572,4</w:t>
            </w:r>
          </w:p>
        </w:tc>
      </w:tr>
      <w:tr w:rsidR="00D07892" w:rsidRPr="00213BD4" w:rsidTr="009B2854">
        <w:tc>
          <w:tcPr>
            <w:tcW w:w="2364" w:type="dxa"/>
            <w:shd w:val="clear" w:color="auto" w:fill="auto"/>
          </w:tcPr>
          <w:p w:rsidR="00D07892" w:rsidRPr="00213BD4" w:rsidRDefault="00D07892" w:rsidP="009B2854">
            <w:r w:rsidRPr="00213BD4">
              <w:t>Auftragseingang</w:t>
            </w:r>
          </w:p>
        </w:tc>
        <w:tc>
          <w:tcPr>
            <w:tcW w:w="933" w:type="dxa"/>
            <w:shd w:val="clear" w:color="auto" w:fill="auto"/>
          </w:tcPr>
          <w:p w:rsidR="00D07892" w:rsidRPr="00213BD4" w:rsidRDefault="00D07892" w:rsidP="009B2854">
            <w:r w:rsidRPr="00213BD4">
              <w:t>Mio. €</w:t>
            </w:r>
          </w:p>
        </w:tc>
        <w:tc>
          <w:tcPr>
            <w:tcW w:w="2056" w:type="dxa"/>
            <w:shd w:val="clear" w:color="auto" w:fill="auto"/>
          </w:tcPr>
          <w:p w:rsidR="00D07892" w:rsidRPr="00213BD4" w:rsidRDefault="00D07892" w:rsidP="009B2854">
            <w:pPr>
              <w:rPr>
                <w:b/>
              </w:rPr>
            </w:pPr>
            <w:r>
              <w:rPr>
                <w:b/>
              </w:rPr>
              <w:t>554,6</w:t>
            </w:r>
          </w:p>
        </w:tc>
        <w:tc>
          <w:tcPr>
            <w:tcW w:w="1985" w:type="dxa"/>
            <w:shd w:val="clear" w:color="auto" w:fill="auto"/>
          </w:tcPr>
          <w:p w:rsidR="00D07892" w:rsidRPr="00213BD4" w:rsidRDefault="00D07892" w:rsidP="009B2854">
            <w:r>
              <w:t>502,1</w:t>
            </w:r>
          </w:p>
        </w:tc>
      </w:tr>
      <w:tr w:rsidR="00D07892" w:rsidRPr="00213BD4" w:rsidTr="009B2854">
        <w:tc>
          <w:tcPr>
            <w:tcW w:w="2364" w:type="dxa"/>
            <w:shd w:val="clear" w:color="auto" w:fill="auto"/>
          </w:tcPr>
          <w:p w:rsidR="00D07892" w:rsidRPr="00213BD4" w:rsidRDefault="00D07892" w:rsidP="009B2854">
            <w:r w:rsidRPr="00213BD4">
              <w:t xml:space="preserve">Auftragsbestand </w:t>
            </w:r>
            <w:r>
              <w:rPr>
                <w:vertAlign w:val="superscript"/>
              </w:rPr>
              <w:t>1</w:t>
            </w:r>
          </w:p>
        </w:tc>
        <w:tc>
          <w:tcPr>
            <w:tcW w:w="933" w:type="dxa"/>
            <w:shd w:val="clear" w:color="auto" w:fill="auto"/>
          </w:tcPr>
          <w:p w:rsidR="00D07892" w:rsidRPr="00213BD4" w:rsidRDefault="00D07892" w:rsidP="009B2854">
            <w:r w:rsidRPr="00213BD4">
              <w:t>Mio. €</w:t>
            </w:r>
          </w:p>
        </w:tc>
        <w:tc>
          <w:tcPr>
            <w:tcW w:w="2056" w:type="dxa"/>
            <w:shd w:val="clear" w:color="auto" w:fill="auto"/>
          </w:tcPr>
          <w:p w:rsidR="00D07892" w:rsidRPr="00213BD4" w:rsidRDefault="00D07892" w:rsidP="009B2854">
            <w:pPr>
              <w:rPr>
                <w:b/>
              </w:rPr>
            </w:pPr>
            <w:r>
              <w:rPr>
                <w:b/>
              </w:rPr>
              <w:t>1.053,7</w:t>
            </w:r>
          </w:p>
        </w:tc>
        <w:tc>
          <w:tcPr>
            <w:tcW w:w="1985" w:type="dxa"/>
            <w:shd w:val="clear" w:color="auto" w:fill="auto"/>
          </w:tcPr>
          <w:p w:rsidR="00D07892" w:rsidRPr="00213BD4" w:rsidRDefault="00D07892" w:rsidP="009B2854">
            <w:r>
              <w:t>1.095,5</w:t>
            </w:r>
          </w:p>
        </w:tc>
      </w:tr>
      <w:tr w:rsidR="00D07892" w:rsidRPr="00213BD4" w:rsidTr="009B2854">
        <w:tc>
          <w:tcPr>
            <w:tcW w:w="2364" w:type="dxa"/>
            <w:shd w:val="clear" w:color="auto" w:fill="auto"/>
          </w:tcPr>
          <w:p w:rsidR="00D07892" w:rsidRPr="00213BD4" w:rsidRDefault="00D07892" w:rsidP="009B2854">
            <w:r>
              <w:t>Ebita</w:t>
            </w:r>
          </w:p>
        </w:tc>
        <w:tc>
          <w:tcPr>
            <w:tcW w:w="933" w:type="dxa"/>
            <w:shd w:val="clear" w:color="auto" w:fill="auto"/>
          </w:tcPr>
          <w:p w:rsidR="00D07892" w:rsidRPr="00213BD4" w:rsidRDefault="00D07892" w:rsidP="009B2854">
            <w:r>
              <w:t>Mio. €</w:t>
            </w:r>
          </w:p>
        </w:tc>
        <w:tc>
          <w:tcPr>
            <w:tcW w:w="2056" w:type="dxa"/>
            <w:shd w:val="clear" w:color="auto" w:fill="auto"/>
          </w:tcPr>
          <w:p w:rsidR="00D07892" w:rsidRPr="00213BD4" w:rsidRDefault="00D07892" w:rsidP="009B2854">
            <w:pPr>
              <w:rPr>
                <w:b/>
              </w:rPr>
            </w:pPr>
            <w:r>
              <w:rPr>
                <w:b/>
              </w:rPr>
              <w:t>39,6</w:t>
            </w:r>
          </w:p>
        </w:tc>
        <w:tc>
          <w:tcPr>
            <w:tcW w:w="1985" w:type="dxa"/>
            <w:shd w:val="clear" w:color="auto" w:fill="auto"/>
          </w:tcPr>
          <w:p w:rsidR="00D07892" w:rsidRPr="00213BD4" w:rsidRDefault="00D07892" w:rsidP="009B2854">
            <w:r>
              <w:t>46,8</w:t>
            </w:r>
          </w:p>
        </w:tc>
      </w:tr>
      <w:tr w:rsidR="00D07892" w:rsidRPr="00213BD4" w:rsidTr="009B2854">
        <w:tc>
          <w:tcPr>
            <w:tcW w:w="2364" w:type="dxa"/>
            <w:shd w:val="clear" w:color="auto" w:fill="auto"/>
          </w:tcPr>
          <w:p w:rsidR="00D07892" w:rsidRPr="00213BD4" w:rsidRDefault="00D07892" w:rsidP="009B2854">
            <w:r w:rsidRPr="00213BD4">
              <w:t>Ebit</w:t>
            </w:r>
          </w:p>
        </w:tc>
        <w:tc>
          <w:tcPr>
            <w:tcW w:w="933" w:type="dxa"/>
            <w:shd w:val="clear" w:color="auto" w:fill="auto"/>
          </w:tcPr>
          <w:p w:rsidR="00D07892" w:rsidRPr="00213BD4" w:rsidRDefault="00D07892" w:rsidP="009B2854">
            <w:r w:rsidRPr="00213BD4">
              <w:t>Mio. €</w:t>
            </w:r>
          </w:p>
        </w:tc>
        <w:tc>
          <w:tcPr>
            <w:tcW w:w="2056" w:type="dxa"/>
            <w:shd w:val="clear" w:color="auto" w:fill="auto"/>
          </w:tcPr>
          <w:p w:rsidR="00D07892" w:rsidRPr="00213BD4" w:rsidRDefault="00D07892" w:rsidP="009B2854">
            <w:pPr>
              <w:rPr>
                <w:b/>
              </w:rPr>
            </w:pPr>
            <w:r>
              <w:rPr>
                <w:b/>
              </w:rPr>
              <w:t>38,7</w:t>
            </w:r>
          </w:p>
        </w:tc>
        <w:tc>
          <w:tcPr>
            <w:tcW w:w="1985" w:type="dxa"/>
            <w:shd w:val="clear" w:color="auto" w:fill="auto"/>
          </w:tcPr>
          <w:p w:rsidR="00D07892" w:rsidRPr="00213BD4" w:rsidRDefault="00D07892" w:rsidP="009B2854">
            <w:r>
              <w:t>45,5</w:t>
            </w:r>
          </w:p>
        </w:tc>
      </w:tr>
      <w:tr w:rsidR="00D07892" w:rsidRPr="00213BD4" w:rsidTr="009B2854">
        <w:tc>
          <w:tcPr>
            <w:tcW w:w="2364" w:type="dxa"/>
            <w:shd w:val="clear" w:color="auto" w:fill="auto"/>
          </w:tcPr>
          <w:p w:rsidR="00D07892" w:rsidRPr="00213BD4" w:rsidRDefault="00D07892" w:rsidP="009B2854">
            <w:r w:rsidRPr="00213BD4">
              <w:t>Ebt</w:t>
            </w:r>
          </w:p>
        </w:tc>
        <w:tc>
          <w:tcPr>
            <w:tcW w:w="933" w:type="dxa"/>
            <w:shd w:val="clear" w:color="auto" w:fill="auto"/>
          </w:tcPr>
          <w:p w:rsidR="00D07892" w:rsidRPr="00213BD4" w:rsidRDefault="00D07892" w:rsidP="009B2854">
            <w:r w:rsidRPr="00213BD4">
              <w:t>Mio. €</w:t>
            </w:r>
          </w:p>
        </w:tc>
        <w:tc>
          <w:tcPr>
            <w:tcW w:w="2056" w:type="dxa"/>
            <w:shd w:val="clear" w:color="auto" w:fill="auto"/>
          </w:tcPr>
          <w:p w:rsidR="00D07892" w:rsidRPr="00213BD4" w:rsidRDefault="00D07892" w:rsidP="009B2854">
            <w:pPr>
              <w:rPr>
                <w:b/>
              </w:rPr>
            </w:pPr>
            <w:r>
              <w:rPr>
                <w:b/>
              </w:rPr>
              <w:t>37,4</w:t>
            </w:r>
          </w:p>
        </w:tc>
        <w:tc>
          <w:tcPr>
            <w:tcW w:w="1985" w:type="dxa"/>
            <w:shd w:val="clear" w:color="auto" w:fill="auto"/>
          </w:tcPr>
          <w:p w:rsidR="00D07892" w:rsidRPr="00213BD4" w:rsidRDefault="00D07892" w:rsidP="009B2854">
            <w:r>
              <w:t>41,5</w:t>
            </w:r>
          </w:p>
        </w:tc>
      </w:tr>
      <w:tr w:rsidR="00D07892" w:rsidRPr="00213BD4" w:rsidTr="009B2854">
        <w:tc>
          <w:tcPr>
            <w:tcW w:w="2364" w:type="dxa"/>
            <w:shd w:val="clear" w:color="auto" w:fill="auto"/>
          </w:tcPr>
          <w:p w:rsidR="00D07892" w:rsidRPr="00213BD4" w:rsidRDefault="00D07892" w:rsidP="009B2854">
            <w:r w:rsidRPr="00213BD4">
              <w:t>Konzernergebnis</w:t>
            </w:r>
          </w:p>
        </w:tc>
        <w:tc>
          <w:tcPr>
            <w:tcW w:w="933" w:type="dxa"/>
            <w:shd w:val="clear" w:color="auto" w:fill="auto"/>
          </w:tcPr>
          <w:p w:rsidR="00D07892" w:rsidRPr="00213BD4" w:rsidRDefault="00D07892" w:rsidP="009B2854">
            <w:r w:rsidRPr="00213BD4">
              <w:t>Mio. €</w:t>
            </w:r>
          </w:p>
        </w:tc>
        <w:tc>
          <w:tcPr>
            <w:tcW w:w="2056" w:type="dxa"/>
            <w:shd w:val="clear" w:color="auto" w:fill="auto"/>
          </w:tcPr>
          <w:p w:rsidR="00D07892" w:rsidRPr="00213BD4" w:rsidRDefault="00D07892" w:rsidP="009B2854">
            <w:pPr>
              <w:rPr>
                <w:b/>
              </w:rPr>
            </w:pPr>
            <w:r>
              <w:rPr>
                <w:b/>
              </w:rPr>
              <w:t>25,1</w:t>
            </w:r>
          </w:p>
        </w:tc>
        <w:tc>
          <w:tcPr>
            <w:tcW w:w="1985" w:type="dxa"/>
            <w:shd w:val="clear" w:color="auto" w:fill="auto"/>
          </w:tcPr>
          <w:p w:rsidR="00D07892" w:rsidRPr="00213BD4" w:rsidRDefault="00D07892" w:rsidP="009B2854">
            <w:r>
              <w:t>22,8</w:t>
            </w:r>
          </w:p>
        </w:tc>
      </w:tr>
      <w:tr w:rsidR="00D07892" w:rsidRPr="00213BD4" w:rsidTr="009B2854">
        <w:tc>
          <w:tcPr>
            <w:tcW w:w="2364" w:type="dxa"/>
            <w:shd w:val="clear" w:color="auto" w:fill="auto"/>
          </w:tcPr>
          <w:p w:rsidR="00D07892" w:rsidRPr="00213BD4" w:rsidRDefault="00D07892" w:rsidP="009B2854">
            <w:r>
              <w:t>Ebita-Marge</w:t>
            </w:r>
          </w:p>
        </w:tc>
        <w:tc>
          <w:tcPr>
            <w:tcW w:w="933" w:type="dxa"/>
            <w:shd w:val="clear" w:color="auto" w:fill="auto"/>
          </w:tcPr>
          <w:p w:rsidR="00D07892" w:rsidRPr="00213BD4" w:rsidRDefault="00D07892" w:rsidP="009B2854">
            <w:r>
              <w:t>%</w:t>
            </w:r>
          </w:p>
        </w:tc>
        <w:tc>
          <w:tcPr>
            <w:tcW w:w="2056" w:type="dxa"/>
            <w:shd w:val="clear" w:color="auto" w:fill="auto"/>
          </w:tcPr>
          <w:p w:rsidR="00D07892" w:rsidRPr="00213BD4" w:rsidRDefault="00D07892" w:rsidP="009B2854">
            <w:pPr>
              <w:rPr>
                <w:b/>
              </w:rPr>
            </w:pPr>
            <w:r>
              <w:rPr>
                <w:b/>
              </w:rPr>
              <w:t>7,3</w:t>
            </w:r>
          </w:p>
        </w:tc>
        <w:tc>
          <w:tcPr>
            <w:tcW w:w="1985" w:type="dxa"/>
            <w:shd w:val="clear" w:color="auto" w:fill="auto"/>
          </w:tcPr>
          <w:p w:rsidR="00D07892" w:rsidRPr="00213BD4" w:rsidRDefault="00D07892" w:rsidP="009B2854">
            <w:r>
              <w:t>8,2</w:t>
            </w:r>
          </w:p>
        </w:tc>
      </w:tr>
      <w:tr w:rsidR="00D07892" w:rsidRPr="00213BD4" w:rsidTr="009B2854">
        <w:tc>
          <w:tcPr>
            <w:tcW w:w="2364" w:type="dxa"/>
            <w:shd w:val="clear" w:color="auto" w:fill="auto"/>
          </w:tcPr>
          <w:p w:rsidR="00D07892" w:rsidRDefault="00D07892" w:rsidP="009B2854">
            <w:pPr>
              <w:spacing w:line="240" w:lineRule="auto"/>
            </w:pPr>
            <w:r>
              <w:t>Cashflow aus betrieblicher Tätigkeit</w:t>
            </w:r>
          </w:p>
        </w:tc>
        <w:tc>
          <w:tcPr>
            <w:tcW w:w="933" w:type="dxa"/>
            <w:shd w:val="clear" w:color="auto" w:fill="auto"/>
          </w:tcPr>
          <w:p w:rsidR="00D07892" w:rsidRDefault="00D07892" w:rsidP="009B2854">
            <w:r>
              <w:t>Mio. €</w:t>
            </w:r>
          </w:p>
        </w:tc>
        <w:tc>
          <w:tcPr>
            <w:tcW w:w="2056" w:type="dxa"/>
            <w:shd w:val="clear" w:color="auto" w:fill="auto"/>
          </w:tcPr>
          <w:p w:rsidR="00D07892" w:rsidRDefault="00D07892" w:rsidP="009B2854">
            <w:pPr>
              <w:rPr>
                <w:b/>
              </w:rPr>
            </w:pPr>
            <w:r>
              <w:rPr>
                <w:b/>
              </w:rPr>
              <w:t>60,9</w:t>
            </w:r>
          </w:p>
        </w:tc>
        <w:tc>
          <w:tcPr>
            <w:tcW w:w="1985" w:type="dxa"/>
            <w:shd w:val="clear" w:color="auto" w:fill="auto"/>
          </w:tcPr>
          <w:p w:rsidR="00D07892" w:rsidRDefault="00D07892" w:rsidP="009B2854">
            <w:r>
              <w:t>-9,0</w:t>
            </w:r>
          </w:p>
        </w:tc>
      </w:tr>
      <w:tr w:rsidR="00D07892" w:rsidRPr="00213BD4" w:rsidTr="009B2854">
        <w:tc>
          <w:tcPr>
            <w:tcW w:w="2364" w:type="dxa"/>
            <w:shd w:val="clear" w:color="auto" w:fill="auto"/>
          </w:tcPr>
          <w:p w:rsidR="00D07892" w:rsidRDefault="00D07892" w:rsidP="009B2854">
            <w:r>
              <w:t>Bilanzsumme</w:t>
            </w:r>
            <w:r>
              <w:rPr>
                <w:vertAlign w:val="superscript"/>
              </w:rPr>
              <w:t>1</w:t>
            </w:r>
          </w:p>
        </w:tc>
        <w:tc>
          <w:tcPr>
            <w:tcW w:w="933" w:type="dxa"/>
            <w:shd w:val="clear" w:color="auto" w:fill="auto"/>
          </w:tcPr>
          <w:p w:rsidR="00D07892" w:rsidRDefault="00D07892" w:rsidP="009B2854">
            <w:r>
              <w:t>Mio. €</w:t>
            </w:r>
          </w:p>
        </w:tc>
        <w:tc>
          <w:tcPr>
            <w:tcW w:w="2056" w:type="dxa"/>
            <w:shd w:val="clear" w:color="auto" w:fill="auto"/>
          </w:tcPr>
          <w:p w:rsidR="00D07892" w:rsidRDefault="00D07892" w:rsidP="009B2854">
            <w:pPr>
              <w:rPr>
                <w:b/>
              </w:rPr>
            </w:pPr>
            <w:r>
              <w:rPr>
                <w:b/>
              </w:rPr>
              <w:t>1.011,6</w:t>
            </w:r>
          </w:p>
        </w:tc>
        <w:tc>
          <w:tcPr>
            <w:tcW w:w="1985" w:type="dxa"/>
            <w:shd w:val="clear" w:color="auto" w:fill="auto"/>
          </w:tcPr>
          <w:p w:rsidR="00D07892" w:rsidRDefault="00D07892" w:rsidP="009B2854">
            <w:r>
              <w:t>985,6</w:t>
            </w:r>
          </w:p>
        </w:tc>
      </w:tr>
      <w:tr w:rsidR="00D07892" w:rsidRPr="00213BD4" w:rsidTr="009B2854">
        <w:tc>
          <w:tcPr>
            <w:tcW w:w="2364" w:type="dxa"/>
            <w:shd w:val="clear" w:color="auto" w:fill="auto"/>
          </w:tcPr>
          <w:p w:rsidR="00D07892" w:rsidRDefault="00D07892" w:rsidP="009B2854">
            <w:r>
              <w:t>Eigenkapital</w:t>
            </w:r>
            <w:r>
              <w:rPr>
                <w:vertAlign w:val="superscript"/>
              </w:rPr>
              <w:t>1</w:t>
            </w:r>
          </w:p>
        </w:tc>
        <w:tc>
          <w:tcPr>
            <w:tcW w:w="933" w:type="dxa"/>
            <w:shd w:val="clear" w:color="auto" w:fill="auto"/>
          </w:tcPr>
          <w:p w:rsidR="00D07892" w:rsidRDefault="00D07892" w:rsidP="009B2854">
            <w:r>
              <w:t>Mio. €</w:t>
            </w:r>
          </w:p>
        </w:tc>
        <w:tc>
          <w:tcPr>
            <w:tcW w:w="2056" w:type="dxa"/>
            <w:shd w:val="clear" w:color="auto" w:fill="auto"/>
          </w:tcPr>
          <w:p w:rsidR="00D07892" w:rsidRDefault="00D07892" w:rsidP="009B2854">
            <w:pPr>
              <w:rPr>
                <w:b/>
              </w:rPr>
            </w:pPr>
            <w:r>
              <w:rPr>
                <w:b/>
              </w:rPr>
              <w:t>295,3</w:t>
            </w:r>
          </w:p>
        </w:tc>
        <w:tc>
          <w:tcPr>
            <w:tcW w:w="1985" w:type="dxa"/>
            <w:shd w:val="clear" w:color="auto" w:fill="auto"/>
          </w:tcPr>
          <w:p w:rsidR="00D07892" w:rsidRDefault="00D07892" w:rsidP="009B2854">
            <w:r>
              <w:t>276,9</w:t>
            </w:r>
          </w:p>
        </w:tc>
      </w:tr>
      <w:tr w:rsidR="00D07892" w:rsidRPr="00213BD4" w:rsidTr="009B2854">
        <w:tc>
          <w:tcPr>
            <w:tcW w:w="2364" w:type="dxa"/>
            <w:shd w:val="clear" w:color="auto" w:fill="auto"/>
          </w:tcPr>
          <w:p w:rsidR="00D07892" w:rsidRPr="00213BD4" w:rsidRDefault="00D07892" w:rsidP="009B2854">
            <w:r w:rsidRPr="00213BD4">
              <w:t>Eigenkapitalquote</w:t>
            </w:r>
            <w:r>
              <w:rPr>
                <w:vertAlign w:val="superscript"/>
              </w:rPr>
              <w:t>1</w:t>
            </w:r>
          </w:p>
        </w:tc>
        <w:tc>
          <w:tcPr>
            <w:tcW w:w="933" w:type="dxa"/>
            <w:shd w:val="clear" w:color="auto" w:fill="auto"/>
          </w:tcPr>
          <w:p w:rsidR="00D07892" w:rsidRPr="00213BD4" w:rsidRDefault="00D07892" w:rsidP="009B2854">
            <w:r w:rsidRPr="00213BD4">
              <w:t>%</w:t>
            </w:r>
          </w:p>
        </w:tc>
        <w:tc>
          <w:tcPr>
            <w:tcW w:w="2056" w:type="dxa"/>
            <w:shd w:val="clear" w:color="auto" w:fill="auto"/>
          </w:tcPr>
          <w:p w:rsidR="00D07892" w:rsidRPr="00213BD4" w:rsidRDefault="00D07892" w:rsidP="009B2854">
            <w:pPr>
              <w:rPr>
                <w:b/>
              </w:rPr>
            </w:pPr>
            <w:r>
              <w:rPr>
                <w:b/>
              </w:rPr>
              <w:t>29,2</w:t>
            </w:r>
          </w:p>
        </w:tc>
        <w:tc>
          <w:tcPr>
            <w:tcW w:w="1985" w:type="dxa"/>
            <w:shd w:val="clear" w:color="auto" w:fill="auto"/>
          </w:tcPr>
          <w:p w:rsidR="00D07892" w:rsidRPr="00213BD4" w:rsidRDefault="00D07892" w:rsidP="009B2854">
            <w:r>
              <w:t>28,1</w:t>
            </w:r>
          </w:p>
        </w:tc>
      </w:tr>
      <w:tr w:rsidR="00D07892" w:rsidRPr="00213BD4" w:rsidTr="009B2854">
        <w:tc>
          <w:tcPr>
            <w:tcW w:w="2364" w:type="dxa"/>
            <w:shd w:val="clear" w:color="auto" w:fill="auto"/>
          </w:tcPr>
          <w:p w:rsidR="00D07892" w:rsidRPr="00213BD4" w:rsidRDefault="00D07892" w:rsidP="009B2854">
            <w:r>
              <w:t>Nettofinanzstatus</w:t>
            </w:r>
            <w:r>
              <w:rPr>
                <w:vertAlign w:val="superscript"/>
              </w:rPr>
              <w:t>1</w:t>
            </w:r>
          </w:p>
        </w:tc>
        <w:tc>
          <w:tcPr>
            <w:tcW w:w="933" w:type="dxa"/>
            <w:shd w:val="clear" w:color="auto" w:fill="auto"/>
          </w:tcPr>
          <w:p w:rsidR="00D07892" w:rsidRPr="00213BD4" w:rsidRDefault="00D07892" w:rsidP="009B2854">
            <w:r>
              <w:t>Mio. €</w:t>
            </w:r>
          </w:p>
        </w:tc>
        <w:tc>
          <w:tcPr>
            <w:tcW w:w="2056" w:type="dxa"/>
            <w:shd w:val="clear" w:color="auto" w:fill="auto"/>
          </w:tcPr>
          <w:p w:rsidR="00D07892" w:rsidRPr="00537D57" w:rsidRDefault="00D07892" w:rsidP="009B2854">
            <w:pPr>
              <w:rPr>
                <w:b/>
              </w:rPr>
            </w:pPr>
            <w:r>
              <w:rPr>
                <w:b/>
              </w:rPr>
              <w:t>323,7</w:t>
            </w:r>
          </w:p>
        </w:tc>
        <w:tc>
          <w:tcPr>
            <w:tcW w:w="1985" w:type="dxa"/>
            <w:shd w:val="clear" w:color="auto" w:fill="auto"/>
          </w:tcPr>
          <w:p w:rsidR="00D07892" w:rsidRDefault="00D07892" w:rsidP="009B2854">
            <w:r>
              <w:t>214,6</w:t>
            </w:r>
          </w:p>
        </w:tc>
      </w:tr>
      <w:tr w:rsidR="00D07892" w:rsidRPr="00213BD4" w:rsidTr="009B2854">
        <w:tc>
          <w:tcPr>
            <w:tcW w:w="2364" w:type="dxa"/>
            <w:shd w:val="clear" w:color="auto" w:fill="auto"/>
          </w:tcPr>
          <w:p w:rsidR="00D07892" w:rsidRPr="00213BD4" w:rsidRDefault="00D07892" w:rsidP="009B2854">
            <w:r w:rsidRPr="00213BD4">
              <w:t xml:space="preserve">Mitarbeiter </w:t>
            </w:r>
            <w:r w:rsidRPr="00213BD4">
              <w:rPr>
                <w:vertAlign w:val="superscript"/>
              </w:rPr>
              <w:t>2</w:t>
            </w:r>
          </w:p>
        </w:tc>
        <w:tc>
          <w:tcPr>
            <w:tcW w:w="933" w:type="dxa"/>
            <w:shd w:val="clear" w:color="auto" w:fill="auto"/>
          </w:tcPr>
          <w:p w:rsidR="00D07892" w:rsidRPr="00213BD4" w:rsidRDefault="00D07892" w:rsidP="009B2854"/>
        </w:tc>
        <w:tc>
          <w:tcPr>
            <w:tcW w:w="2056" w:type="dxa"/>
            <w:shd w:val="clear" w:color="auto" w:fill="auto"/>
          </w:tcPr>
          <w:p w:rsidR="00D07892" w:rsidRPr="00213BD4" w:rsidRDefault="00D07892" w:rsidP="009B2854">
            <w:pPr>
              <w:rPr>
                <w:b/>
              </w:rPr>
            </w:pPr>
            <w:r>
              <w:rPr>
                <w:b/>
              </w:rPr>
              <w:t>5.470</w:t>
            </w:r>
          </w:p>
        </w:tc>
        <w:tc>
          <w:tcPr>
            <w:tcW w:w="1985" w:type="dxa"/>
            <w:shd w:val="clear" w:color="auto" w:fill="auto"/>
          </w:tcPr>
          <w:p w:rsidR="00D07892" w:rsidRPr="00213BD4" w:rsidRDefault="00D07892" w:rsidP="009B2854">
            <w:r>
              <w:t>5.563</w:t>
            </w:r>
          </w:p>
        </w:tc>
      </w:tr>
    </w:tbl>
    <w:p w:rsidR="00D07892" w:rsidRPr="00213BD4" w:rsidRDefault="00D07892" w:rsidP="00D07892">
      <w:r w:rsidRPr="00213BD4">
        <w:rPr>
          <w:vertAlign w:val="superscript"/>
        </w:rPr>
        <w:t xml:space="preserve">1  </w:t>
      </w:r>
      <w:r>
        <w:t>30.06</w:t>
      </w:r>
      <w:r w:rsidRPr="00213BD4">
        <w:t>.</w:t>
      </w:r>
      <w:r>
        <w:t xml:space="preserve">, </w:t>
      </w:r>
      <w:r w:rsidRPr="00213BD4">
        <w:rPr>
          <w:vertAlign w:val="superscript"/>
        </w:rPr>
        <w:t xml:space="preserve">2  </w:t>
      </w:r>
      <w:r w:rsidRPr="00213BD4">
        <w:t>Inklusive Auszubildende</w:t>
      </w:r>
    </w:p>
    <w:p w:rsidR="00D07892" w:rsidRPr="00D07892" w:rsidRDefault="00D07892" w:rsidP="00D07892"/>
    <w:p w:rsidR="007E1606" w:rsidRDefault="007E1606" w:rsidP="000E228F">
      <w:pPr>
        <w:pStyle w:val="berschrift3"/>
      </w:pPr>
      <w:r>
        <w:lastRenderedPageBreak/>
        <w:t>Bildunterschriften</w:t>
      </w:r>
    </w:p>
    <w:p w:rsidR="00C82B81" w:rsidRDefault="007E1606" w:rsidP="007E1606">
      <w:r>
        <w:t xml:space="preserve">Bild1.jpg: </w:t>
      </w:r>
      <w:r w:rsidR="00F830EC">
        <w:t>Schuler nimmt</w:t>
      </w:r>
      <w:r w:rsidR="00C31659">
        <w:t xml:space="preserve"> in</w:t>
      </w:r>
      <w:r w:rsidR="00F830EC">
        <w:t xml:space="preserve"> Erfurt ein neues </w:t>
      </w:r>
      <w:r w:rsidR="00F830EC" w:rsidRPr="00F830EC">
        <w:t xml:space="preserve">Großbohrwerk </w:t>
      </w:r>
      <w:r w:rsidR="00F830EC">
        <w:t xml:space="preserve">in Betrieb </w:t>
      </w:r>
      <w:r w:rsidR="00C31659">
        <w:t>– die größte Einzelinvestition</w:t>
      </w:r>
      <w:r w:rsidR="00F830EC">
        <w:t xml:space="preserve"> des Konzern</w:t>
      </w:r>
      <w:r w:rsidR="00895500">
        <w:t>s</w:t>
      </w:r>
      <w:r w:rsidR="00F830EC">
        <w:t xml:space="preserve"> am thüringischen Standort</w:t>
      </w:r>
      <w:r w:rsidR="00DA56E9">
        <w:t>.</w:t>
      </w:r>
    </w:p>
    <w:p w:rsidR="009B2577" w:rsidRDefault="007E1606" w:rsidP="00D07892">
      <w:r>
        <w:t xml:space="preserve">Bild2.jpg: </w:t>
      </w:r>
      <w:r w:rsidR="00D07892">
        <w:t>Schuler baut bis Mitte 2015 in Tianjin, China, ein neues Vorführzentrum, das mit modernster Pressen-Technologie ausgestattet ist</w:t>
      </w:r>
      <w:r w:rsidR="00DA56E9">
        <w:t>.</w:t>
      </w:r>
      <w:bookmarkStart w:id="0" w:name="_GoBack"/>
      <w:bookmarkEnd w:id="0"/>
    </w:p>
    <w:p w:rsidR="00D07892" w:rsidRDefault="00D07892" w:rsidP="00D07892">
      <w:r>
        <w:t xml:space="preserve">Bild3.jpg. Die jüngsten Verkaufserfolge bestätigen das TwinServo-Konzept mit einem neuen </w:t>
      </w:r>
      <w:r w:rsidR="00C31659">
        <w:t>dezentralen Antriebskonzept für Pressen.</w:t>
      </w:r>
    </w:p>
    <w:p w:rsidR="00C31659" w:rsidRDefault="00C31659" w:rsidP="00D07892"/>
    <w:p w:rsidR="005833D5" w:rsidRPr="005833D5" w:rsidRDefault="005833D5" w:rsidP="005833D5">
      <w:pPr>
        <w:rPr>
          <w:i/>
        </w:rPr>
      </w:pPr>
      <w:r w:rsidRPr="005833D5">
        <w:rPr>
          <w:i/>
        </w:rPr>
        <w:t>Als Bildquelle bitte Schuler angeben.</w:t>
      </w:r>
    </w:p>
    <w:p w:rsidR="005833D5" w:rsidRPr="00AF64B9" w:rsidRDefault="005833D5" w:rsidP="008E1F8F">
      <w:pPr>
        <w:ind w:right="-15"/>
        <w:outlineLvl w:val="0"/>
        <w:rPr>
          <w:rFonts w:cs="Arial"/>
        </w:rPr>
      </w:pPr>
    </w:p>
    <w:p w:rsidR="005833D5" w:rsidRPr="00AF64B9" w:rsidRDefault="005833D5" w:rsidP="008E1F8F">
      <w:pPr>
        <w:pBdr>
          <w:top w:val="single" w:sz="4" w:space="1" w:color="auto"/>
        </w:pBdr>
        <w:spacing w:line="240" w:lineRule="auto"/>
        <w:jc w:val="both"/>
      </w:pPr>
    </w:p>
    <w:p w:rsidR="005833D5" w:rsidRPr="00AF64B9" w:rsidRDefault="005833D5" w:rsidP="008E1F8F">
      <w:pPr>
        <w:pBdr>
          <w:top w:val="single" w:sz="4" w:space="1" w:color="auto"/>
        </w:pBdr>
        <w:spacing w:line="240" w:lineRule="auto"/>
        <w:jc w:val="both"/>
      </w:pPr>
    </w:p>
    <w:p w:rsidR="005833D5" w:rsidRDefault="005833D5" w:rsidP="008E1F8F">
      <w:pPr>
        <w:spacing w:line="240" w:lineRule="auto"/>
        <w:ind w:right="-15"/>
        <w:jc w:val="both"/>
        <w:outlineLvl w:val="0"/>
        <w:rPr>
          <w:b/>
          <w:i/>
        </w:rPr>
      </w:pPr>
      <w:r w:rsidRPr="00AF64B9">
        <w:rPr>
          <w:b/>
          <w:i/>
        </w:rPr>
        <w:t xml:space="preserve">Über den Schuler-Konzern – </w:t>
      </w:r>
      <w:hyperlink r:id="rId11" w:history="1">
        <w:r w:rsidR="00671E3C" w:rsidRPr="00D808EA">
          <w:rPr>
            <w:rStyle w:val="Hyperlink"/>
            <w:b/>
            <w:i/>
          </w:rPr>
          <w:t>www.schulergroup.com</w:t>
        </w:r>
      </w:hyperlink>
    </w:p>
    <w:p w:rsidR="005833D5" w:rsidRDefault="005833D5" w:rsidP="003F0681">
      <w:pPr>
        <w:spacing w:line="240" w:lineRule="auto"/>
        <w:ind w:right="-15"/>
        <w:jc w:val="both"/>
        <w:outlineLvl w:val="0"/>
        <w:rPr>
          <w:i/>
        </w:rPr>
      </w:pPr>
      <w:r w:rsidRPr="00AF64B9">
        <w:rPr>
          <w:i/>
        </w:rPr>
        <w:t>Schuler bietet als Technologie- und Weltmarktführer in der Umformtechnik Pressen, Automationslösungen, Werkzeuge, Prozesstechnologie und Service für die gesamte metallverarbeitende Industrie und den automobilen Leichtbau. Zu den Kunden gehören Automobilhersteller und</w:t>
      </w:r>
      <w:r w:rsidR="00403EFF">
        <w:rPr>
          <w:i/>
        </w:rPr>
        <w:br/>
        <w:t>-</w:t>
      </w:r>
      <w:r w:rsidRPr="00AF64B9">
        <w:rPr>
          <w:i/>
        </w:rPr>
        <w:t xml:space="preserve">zulieferer sowie Unternehmen aus der Schmiede-, Hausgeräte-, Verpackungs-, Energie- und Elektroindustrie. Schuler ist führend in der Münztechnik und realisiert Systemlösungen in der Luftfahrt-, Raumfahrt-, Eisenbahn- und Großrohrindustrie. </w:t>
      </w:r>
      <w:r w:rsidR="00C96DAD">
        <w:rPr>
          <w:i/>
        </w:rPr>
        <w:t xml:space="preserve">Der Konzern geht auf eine 1839 von Louis Schuler gegründete Schlosserei zurück und feiert 2014 sein 175-jähriges Bestehen. </w:t>
      </w:r>
      <w:r w:rsidRPr="00AF64B9">
        <w:rPr>
          <w:i/>
        </w:rPr>
        <w:t>Im Geschäftsjahr 2012/13 (30.09.) erzielte Schuler einen Umsatz von 1.185,9 Millionen Euro.</w:t>
      </w:r>
      <w:r w:rsidRPr="00AF64B9">
        <w:t xml:space="preserve"> </w:t>
      </w:r>
      <w:r w:rsidRPr="00AF64B9">
        <w:rPr>
          <w:i/>
        </w:rPr>
        <w:t>Weltweit sind rund 5.600 Mitarbeiter im Einsatz. Der Schuler-Konzern ist in 40 Ländern präsent und gehört mehrheitlich zur österreichischen ANDRITZ-Gruppe.</w:t>
      </w:r>
    </w:p>
    <w:p w:rsidR="00D07892" w:rsidRDefault="00D07892" w:rsidP="003F0681">
      <w:pPr>
        <w:spacing w:line="240" w:lineRule="auto"/>
        <w:ind w:right="-15"/>
        <w:jc w:val="both"/>
        <w:outlineLvl w:val="0"/>
        <w:rPr>
          <w:i/>
        </w:rPr>
      </w:pPr>
    </w:p>
    <w:p w:rsidR="00D07892" w:rsidRDefault="00D07892" w:rsidP="00D07892">
      <w:pPr>
        <w:spacing w:line="240" w:lineRule="auto"/>
        <w:ind w:right="-15"/>
        <w:jc w:val="both"/>
        <w:outlineLvl w:val="0"/>
        <w:rPr>
          <w:i/>
        </w:rPr>
      </w:pPr>
      <w:r>
        <w:rPr>
          <w:i/>
        </w:rPr>
        <w:t>Besuchen Sie Schuler in den sozialen Netzwerken:</w:t>
      </w:r>
    </w:p>
    <w:p w:rsidR="00D07892" w:rsidRDefault="00D07892" w:rsidP="00D07892">
      <w:pPr>
        <w:spacing w:line="240" w:lineRule="auto"/>
        <w:ind w:right="-15"/>
        <w:jc w:val="both"/>
        <w:outlineLvl w:val="0"/>
        <w:rPr>
          <w:i/>
        </w:rPr>
      </w:pPr>
    </w:p>
    <w:p w:rsidR="00D07892" w:rsidRPr="00786F88" w:rsidRDefault="00D07892" w:rsidP="00D07892">
      <w:pPr>
        <w:pStyle w:val="Unternehmensdaten"/>
        <w:rPr>
          <w:sz w:val="22"/>
          <w:szCs w:val="22"/>
        </w:rPr>
      </w:pPr>
      <w:r w:rsidRPr="00786F88">
        <w:rPr>
          <w:sz w:val="22"/>
          <w:szCs w:val="22"/>
        </w:rPr>
        <w:t xml:space="preserve">    </w:t>
      </w:r>
      <w:r w:rsidRPr="00830416">
        <w:rPr>
          <w:noProof/>
          <w:color w:val="0000FF"/>
          <w:sz w:val="22"/>
          <w:szCs w:val="22"/>
          <w:u w:val="single"/>
          <w:lang w:eastAsia="de-DE"/>
        </w:rPr>
        <w:drawing>
          <wp:anchor distT="0" distB="0" distL="114300" distR="114300" simplePos="0" relativeHeight="251663360" behindDoc="0" locked="0" layoutInCell="1" allowOverlap="1" wp14:anchorId="292FE02B" wp14:editId="2CB7A937">
            <wp:simplePos x="0" y="0"/>
            <wp:positionH relativeFrom="column">
              <wp:posOffset>-635</wp:posOffset>
            </wp:positionH>
            <wp:positionV relativeFrom="paragraph">
              <wp:posOffset>-43815</wp:posOffset>
            </wp:positionV>
            <wp:extent cx="180975" cy="180975"/>
            <wp:effectExtent l="0" t="0" r="9525" b="9525"/>
            <wp:wrapNone/>
            <wp:docPr id="15" name="Grafik 15" descr="C:\Users\scherren\Downloads\fb_icon_325x32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cherren\Downloads\fb_icon_325x325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86F88">
        <w:rPr>
          <w:sz w:val="22"/>
          <w:szCs w:val="22"/>
        </w:rPr>
        <w:t xml:space="preserve">     </w:t>
      </w:r>
      <w:hyperlink r:id="rId13" w:history="1">
        <w:r w:rsidRPr="00786F88">
          <w:rPr>
            <w:rStyle w:val="Hyperlink"/>
            <w:sz w:val="22"/>
            <w:szCs w:val="22"/>
          </w:rPr>
          <w:t>www.facebook.com/schulergroup</w:t>
        </w:r>
      </w:hyperlink>
    </w:p>
    <w:p w:rsidR="00D07892" w:rsidRPr="00786F88" w:rsidRDefault="00D07892" w:rsidP="00D07892">
      <w:pPr>
        <w:pStyle w:val="Unternehmensdaten"/>
        <w:rPr>
          <w:sz w:val="22"/>
          <w:szCs w:val="22"/>
        </w:rPr>
      </w:pPr>
      <w:r w:rsidRPr="00830416">
        <w:rPr>
          <w:noProof/>
          <w:color w:val="0000FF"/>
          <w:sz w:val="22"/>
          <w:szCs w:val="22"/>
          <w:u w:val="single"/>
          <w:lang w:eastAsia="de-DE"/>
        </w:rPr>
        <w:drawing>
          <wp:anchor distT="0" distB="0" distL="114300" distR="114300" simplePos="0" relativeHeight="251659264" behindDoc="0" locked="0" layoutInCell="1" allowOverlap="1" wp14:anchorId="1CE3636C" wp14:editId="5A69E1CD">
            <wp:simplePos x="0" y="0"/>
            <wp:positionH relativeFrom="column">
              <wp:posOffset>-1270</wp:posOffset>
            </wp:positionH>
            <wp:positionV relativeFrom="paragraph">
              <wp:posOffset>128270</wp:posOffset>
            </wp:positionV>
            <wp:extent cx="180975" cy="146685"/>
            <wp:effectExtent l="0" t="0" r="9525" b="5715"/>
            <wp:wrapNone/>
            <wp:docPr id="16" name="Grafik 16" descr="C:\Users\scherren\Downloads\Twitter_logo_blu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scherren\Downloads\Twitter_logo_blue.pn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146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07892" w:rsidRPr="00786F88" w:rsidRDefault="00D07892" w:rsidP="00D07892">
      <w:pPr>
        <w:pStyle w:val="Unternehmensdaten"/>
        <w:rPr>
          <w:sz w:val="22"/>
          <w:szCs w:val="22"/>
        </w:rPr>
      </w:pPr>
      <w:r w:rsidRPr="00786F88">
        <w:rPr>
          <w:sz w:val="22"/>
          <w:szCs w:val="22"/>
        </w:rPr>
        <w:t xml:space="preserve">         </w:t>
      </w:r>
      <w:hyperlink r:id="rId15" w:history="1">
        <w:r w:rsidRPr="00786F88">
          <w:rPr>
            <w:rStyle w:val="Hyperlink"/>
            <w:sz w:val="22"/>
            <w:szCs w:val="22"/>
          </w:rPr>
          <w:t>www.</w:t>
        </w:r>
        <w:r w:rsidRPr="00427C52">
          <w:rPr>
            <w:rStyle w:val="Hyperlink"/>
            <w:sz w:val="22"/>
            <w:szCs w:val="22"/>
          </w:rPr>
          <w:t>t</w:t>
        </w:r>
        <w:r w:rsidRPr="00786F88">
          <w:rPr>
            <w:rStyle w:val="Hyperlink"/>
            <w:sz w:val="22"/>
            <w:szCs w:val="22"/>
          </w:rPr>
          <w:t>witter.com/schulergroup</w:t>
        </w:r>
      </w:hyperlink>
    </w:p>
    <w:p w:rsidR="00D07892" w:rsidRPr="00786F88" w:rsidRDefault="00D07892" w:rsidP="00D07892">
      <w:pPr>
        <w:pStyle w:val="Unternehmensdaten"/>
        <w:rPr>
          <w:sz w:val="22"/>
          <w:szCs w:val="22"/>
        </w:rPr>
      </w:pPr>
      <w:r w:rsidRPr="00830416">
        <w:rPr>
          <w:noProof/>
          <w:color w:val="0000FF"/>
          <w:sz w:val="22"/>
          <w:szCs w:val="22"/>
          <w:u w:val="single"/>
          <w:lang w:eastAsia="de-DE"/>
        </w:rPr>
        <w:drawing>
          <wp:anchor distT="0" distB="0" distL="114300" distR="114300" simplePos="0" relativeHeight="251660288" behindDoc="0" locked="0" layoutInCell="1" allowOverlap="1" wp14:anchorId="2B085ED3" wp14:editId="7B2A86F6">
            <wp:simplePos x="0" y="0"/>
            <wp:positionH relativeFrom="column">
              <wp:posOffset>-1270</wp:posOffset>
            </wp:positionH>
            <wp:positionV relativeFrom="paragraph">
              <wp:posOffset>87630</wp:posOffset>
            </wp:positionV>
            <wp:extent cx="190500" cy="190500"/>
            <wp:effectExtent l="0" t="0" r="0" b="0"/>
            <wp:wrapNone/>
            <wp:docPr id="17" name="Grafik 17" descr="C:\Users\scherren\Downloads\youtube_logo_detai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scherren\Downloads\youtube_logo_detail.png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07892" w:rsidRPr="00786F88" w:rsidRDefault="00D07892" w:rsidP="00D07892">
      <w:pPr>
        <w:pStyle w:val="Unternehmensdaten"/>
        <w:rPr>
          <w:sz w:val="22"/>
          <w:szCs w:val="22"/>
        </w:rPr>
      </w:pPr>
      <w:r w:rsidRPr="00786F88">
        <w:rPr>
          <w:sz w:val="22"/>
          <w:szCs w:val="22"/>
        </w:rPr>
        <w:t xml:space="preserve">         </w:t>
      </w:r>
      <w:hyperlink r:id="rId17" w:history="1">
        <w:r w:rsidRPr="00786F88">
          <w:rPr>
            <w:rStyle w:val="Hyperlink"/>
            <w:sz w:val="22"/>
            <w:szCs w:val="22"/>
          </w:rPr>
          <w:t>www.youtube.com/schulergroup</w:t>
        </w:r>
      </w:hyperlink>
    </w:p>
    <w:p w:rsidR="00D07892" w:rsidRPr="00786F88" w:rsidRDefault="00D07892" w:rsidP="00D07892">
      <w:pPr>
        <w:pStyle w:val="Unternehmensdaten"/>
        <w:rPr>
          <w:sz w:val="22"/>
          <w:szCs w:val="22"/>
        </w:rPr>
      </w:pPr>
      <w:r w:rsidRPr="00830416">
        <w:rPr>
          <w:noProof/>
          <w:color w:val="0000FF"/>
          <w:sz w:val="22"/>
          <w:szCs w:val="22"/>
          <w:u w:val="single"/>
          <w:lang w:eastAsia="de-DE"/>
        </w:rPr>
        <w:drawing>
          <wp:anchor distT="0" distB="0" distL="114300" distR="114300" simplePos="0" relativeHeight="251661312" behindDoc="0" locked="0" layoutInCell="1" allowOverlap="1" wp14:anchorId="2988820E" wp14:editId="74F22222">
            <wp:simplePos x="0" y="0"/>
            <wp:positionH relativeFrom="column">
              <wp:posOffset>-1270</wp:posOffset>
            </wp:positionH>
            <wp:positionV relativeFrom="paragraph">
              <wp:posOffset>104029</wp:posOffset>
            </wp:positionV>
            <wp:extent cx="180975" cy="191770"/>
            <wp:effectExtent l="0" t="0" r="9525" b="0"/>
            <wp:wrapNone/>
            <wp:docPr id="18" name="Grafik 18" descr="C:\Users\scherren\Downloads\xing-logo-e130198892111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scherren\Downloads\xing-logo-e1301988921110.png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191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07892" w:rsidRPr="00786F88" w:rsidRDefault="00D07892" w:rsidP="00D07892">
      <w:pPr>
        <w:pStyle w:val="Unternehmensdaten"/>
        <w:rPr>
          <w:sz w:val="22"/>
          <w:szCs w:val="22"/>
        </w:rPr>
      </w:pPr>
      <w:r w:rsidRPr="00786F88">
        <w:rPr>
          <w:sz w:val="22"/>
          <w:szCs w:val="22"/>
        </w:rPr>
        <w:t xml:space="preserve">         </w:t>
      </w:r>
      <w:hyperlink r:id="rId19" w:history="1">
        <w:r w:rsidRPr="00786F88">
          <w:rPr>
            <w:rStyle w:val="Hyperlink"/>
            <w:sz w:val="22"/>
            <w:szCs w:val="22"/>
          </w:rPr>
          <w:t>www.xing.com/companies/schulergroup</w:t>
        </w:r>
      </w:hyperlink>
    </w:p>
    <w:p w:rsidR="00D07892" w:rsidRPr="00786F88" w:rsidRDefault="00D07892" w:rsidP="00D07892">
      <w:pPr>
        <w:pStyle w:val="Unternehmensdaten"/>
        <w:rPr>
          <w:sz w:val="22"/>
          <w:szCs w:val="22"/>
        </w:rPr>
      </w:pPr>
      <w:r w:rsidRPr="00830416">
        <w:rPr>
          <w:noProof/>
          <w:color w:val="0000FF"/>
          <w:sz w:val="22"/>
          <w:szCs w:val="22"/>
          <w:u w:val="single"/>
          <w:lang w:eastAsia="de-DE"/>
        </w:rPr>
        <w:drawing>
          <wp:anchor distT="0" distB="0" distL="114300" distR="114300" simplePos="0" relativeHeight="251662336" behindDoc="0" locked="0" layoutInCell="1" allowOverlap="1" wp14:anchorId="08146465" wp14:editId="115C3BB4">
            <wp:simplePos x="0" y="0"/>
            <wp:positionH relativeFrom="column">
              <wp:posOffset>-1270</wp:posOffset>
            </wp:positionH>
            <wp:positionV relativeFrom="paragraph">
              <wp:posOffset>110601</wp:posOffset>
            </wp:positionV>
            <wp:extent cx="180975" cy="180975"/>
            <wp:effectExtent l="0" t="0" r="9525" b="9525"/>
            <wp:wrapNone/>
            <wp:docPr id="19" name="Grafik 19" descr="C:\Users\scherren\Downloads\LinkedIn_logo_initial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scherren\Downloads\LinkedIn_logo_initials.png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07892" w:rsidRPr="00C82B81" w:rsidRDefault="00D07892" w:rsidP="00D07892">
      <w:pPr>
        <w:pStyle w:val="Unternehmensdaten"/>
        <w:rPr>
          <w:i/>
        </w:rPr>
      </w:pPr>
      <w:r w:rsidRPr="00786F88">
        <w:rPr>
          <w:sz w:val="22"/>
          <w:szCs w:val="22"/>
        </w:rPr>
        <w:t xml:space="preserve">         </w:t>
      </w:r>
      <w:hyperlink r:id="rId21" w:history="1">
        <w:r w:rsidRPr="00786F88">
          <w:rPr>
            <w:rStyle w:val="Hyperlink"/>
            <w:sz w:val="22"/>
            <w:szCs w:val="22"/>
          </w:rPr>
          <w:t>www.linkedin.com/companies/schuler-group</w:t>
        </w:r>
      </w:hyperlink>
    </w:p>
    <w:sectPr w:rsidR="00D07892" w:rsidRPr="00C82B81" w:rsidSect="007E1606">
      <w:headerReference w:type="default" r:id="rId22"/>
      <w:footerReference w:type="default" r:id="rId23"/>
      <w:headerReference w:type="first" r:id="rId24"/>
      <w:footerReference w:type="first" r:id="rId25"/>
      <w:pgSz w:w="11907" w:h="16840" w:code="9"/>
      <w:pgMar w:top="2977" w:right="3969" w:bottom="1418" w:left="1276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1BA1" w:rsidRDefault="00D71BA1" w:rsidP="007E132D">
      <w:r>
        <w:separator/>
      </w:r>
    </w:p>
    <w:p w:rsidR="00D71BA1" w:rsidRDefault="00D71BA1" w:rsidP="007E132D"/>
  </w:endnote>
  <w:endnote w:type="continuationSeparator" w:id="0">
    <w:p w:rsidR="00D71BA1" w:rsidRDefault="00D71BA1" w:rsidP="007E132D">
      <w:r>
        <w:continuationSeparator/>
      </w:r>
    </w:p>
    <w:p w:rsidR="00D71BA1" w:rsidRDefault="00D71BA1" w:rsidP="007E132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Schuler DIN Offc Pro">
    <w:panose1 w:val="020B0504020101020102"/>
    <w:charset w:val="00"/>
    <w:family w:val="swiss"/>
    <w:pitch w:val="variable"/>
    <w:sig w:usb0="A00002B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vertAnchor="page" w:horzAnchor="page" w:tblpX="8223" w:tblpY="15514"/>
      <w:tblW w:w="0" w:type="auto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2409"/>
    </w:tblGrid>
    <w:tr w:rsidR="00377DED" w:rsidRPr="007E1606" w:rsidTr="007E1606">
      <w:trPr>
        <w:trHeight w:hRule="exact" w:val="227"/>
      </w:trPr>
      <w:tc>
        <w:tcPr>
          <w:tcW w:w="2409" w:type="dxa"/>
          <w:shd w:val="clear" w:color="auto" w:fill="auto"/>
        </w:tcPr>
        <w:p w:rsidR="00377DED" w:rsidRPr="007E1606" w:rsidRDefault="00377DED" w:rsidP="00086F40">
          <w:pPr>
            <w:pStyle w:val="Absenderinformation"/>
            <w:framePr w:hSpace="0" w:vSpace="0" w:wrap="auto" w:vAnchor="margin" w:hAnchor="text" w:xAlign="left" w:yAlign="inline"/>
            <w:rPr>
              <w:rFonts w:eastAsia="Calibri"/>
            </w:rPr>
          </w:pPr>
          <w:r w:rsidRPr="007E1606">
            <w:rPr>
              <w:rFonts w:eastAsia="Calibri"/>
            </w:rPr>
            <w:fldChar w:fldCharType="begin"/>
          </w:r>
          <w:r w:rsidRPr="007E1606">
            <w:rPr>
              <w:rFonts w:eastAsia="Calibri"/>
            </w:rPr>
            <w:instrText xml:space="preserve"> IF </w:instrText>
          </w:r>
          <w:r w:rsidRPr="007E1606">
            <w:rPr>
              <w:rFonts w:eastAsia="Calibri"/>
            </w:rPr>
            <w:fldChar w:fldCharType="begin"/>
          </w:r>
          <w:r w:rsidRPr="007E1606">
            <w:rPr>
              <w:rFonts w:eastAsia="Calibri"/>
            </w:rPr>
            <w:instrText xml:space="preserve"> NUMPAGES </w:instrText>
          </w:r>
          <w:r w:rsidRPr="007E1606">
            <w:rPr>
              <w:rFonts w:eastAsia="Calibri"/>
            </w:rPr>
            <w:fldChar w:fldCharType="separate"/>
          </w:r>
          <w:r w:rsidR="00DA56E9">
            <w:rPr>
              <w:rFonts w:eastAsia="Calibri"/>
              <w:noProof/>
            </w:rPr>
            <w:instrText>4</w:instrText>
          </w:r>
          <w:r w:rsidRPr="007E1606">
            <w:rPr>
              <w:rFonts w:eastAsia="Calibri"/>
              <w:noProof/>
            </w:rPr>
            <w:fldChar w:fldCharType="end"/>
          </w:r>
          <w:r w:rsidRPr="007E1606">
            <w:rPr>
              <w:rFonts w:eastAsia="Calibri"/>
            </w:rPr>
            <w:instrText xml:space="preserve"> &gt; 1 "Seite </w:instrText>
          </w:r>
          <w:r w:rsidRPr="007E1606">
            <w:rPr>
              <w:rFonts w:eastAsia="Calibri"/>
            </w:rPr>
            <w:fldChar w:fldCharType="begin"/>
          </w:r>
          <w:r w:rsidRPr="007E1606">
            <w:rPr>
              <w:rFonts w:eastAsia="Calibri"/>
            </w:rPr>
            <w:instrText xml:space="preserve"> PAGE </w:instrText>
          </w:r>
          <w:r w:rsidRPr="007E1606">
            <w:rPr>
              <w:rFonts w:eastAsia="Calibri"/>
            </w:rPr>
            <w:fldChar w:fldCharType="separate"/>
          </w:r>
          <w:r w:rsidR="00DA56E9">
            <w:rPr>
              <w:rFonts w:eastAsia="Calibri"/>
              <w:noProof/>
            </w:rPr>
            <w:instrText>4</w:instrText>
          </w:r>
          <w:r w:rsidRPr="007E1606">
            <w:rPr>
              <w:rFonts w:eastAsia="Calibri"/>
            </w:rPr>
            <w:fldChar w:fldCharType="end"/>
          </w:r>
          <w:r w:rsidRPr="007E1606">
            <w:rPr>
              <w:rFonts w:eastAsia="Calibri"/>
            </w:rPr>
            <w:instrText xml:space="preserve"> von </w:instrText>
          </w:r>
          <w:r w:rsidRPr="007E1606">
            <w:rPr>
              <w:rFonts w:eastAsia="Calibri"/>
            </w:rPr>
            <w:fldChar w:fldCharType="begin"/>
          </w:r>
          <w:r w:rsidRPr="007E1606">
            <w:rPr>
              <w:rFonts w:eastAsia="Calibri"/>
            </w:rPr>
            <w:instrText xml:space="preserve"> NUMPAGES </w:instrText>
          </w:r>
          <w:r w:rsidRPr="007E1606">
            <w:rPr>
              <w:rFonts w:eastAsia="Calibri"/>
            </w:rPr>
            <w:fldChar w:fldCharType="separate"/>
          </w:r>
          <w:r w:rsidR="00DA56E9">
            <w:rPr>
              <w:rFonts w:eastAsia="Calibri"/>
              <w:noProof/>
            </w:rPr>
            <w:instrText>4</w:instrText>
          </w:r>
          <w:r w:rsidRPr="007E1606">
            <w:rPr>
              <w:rFonts w:eastAsia="Calibri"/>
              <w:noProof/>
            </w:rPr>
            <w:fldChar w:fldCharType="end"/>
          </w:r>
          <w:r w:rsidRPr="007E1606">
            <w:rPr>
              <w:rFonts w:eastAsia="Calibri"/>
            </w:rPr>
            <w:instrText>" " "</w:instrText>
          </w:r>
          <w:r w:rsidRPr="007E1606">
            <w:rPr>
              <w:rFonts w:eastAsia="Calibri"/>
            </w:rPr>
            <w:fldChar w:fldCharType="separate"/>
          </w:r>
          <w:r w:rsidR="00DA56E9" w:rsidRPr="007E1606">
            <w:rPr>
              <w:rFonts w:eastAsia="Calibri"/>
              <w:noProof/>
            </w:rPr>
            <w:t xml:space="preserve">Seite </w:t>
          </w:r>
          <w:r w:rsidR="00DA56E9">
            <w:rPr>
              <w:rFonts w:eastAsia="Calibri"/>
              <w:noProof/>
            </w:rPr>
            <w:t>4</w:t>
          </w:r>
          <w:r w:rsidR="00DA56E9" w:rsidRPr="007E1606">
            <w:rPr>
              <w:rFonts w:eastAsia="Calibri"/>
              <w:noProof/>
            </w:rPr>
            <w:t xml:space="preserve"> von </w:t>
          </w:r>
          <w:r w:rsidR="00DA56E9">
            <w:rPr>
              <w:rFonts w:eastAsia="Calibri"/>
              <w:noProof/>
            </w:rPr>
            <w:t>4</w:t>
          </w:r>
          <w:r w:rsidRPr="007E1606">
            <w:rPr>
              <w:rFonts w:eastAsia="Calibri"/>
            </w:rPr>
            <w:fldChar w:fldCharType="end"/>
          </w:r>
        </w:p>
      </w:tc>
    </w:tr>
  </w:tbl>
  <w:p w:rsidR="00E3363B" w:rsidRPr="00D16703" w:rsidRDefault="00E3363B" w:rsidP="007E132D">
    <w:pPr>
      <w:pStyle w:val="Fuzeile"/>
      <w:rPr>
        <w:lang w:val="it-IT"/>
      </w:rPr>
    </w:pPr>
  </w:p>
  <w:p w:rsidR="00E90330" w:rsidRDefault="00E90330" w:rsidP="007E132D"/>
  <w:p w:rsidR="00E90330" w:rsidRDefault="00E90330" w:rsidP="007E132D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363B" w:rsidRDefault="00E3363B" w:rsidP="007E132D">
    <w:pPr>
      <w:pStyle w:val="Fuzeile"/>
      <w:rPr>
        <w:lang w:val="pt-BR"/>
      </w:rPr>
    </w:pPr>
    <w:r>
      <w:rPr>
        <w:lang w:val="pt-BR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1BA1" w:rsidRDefault="00D71BA1" w:rsidP="007E132D">
      <w:r>
        <w:separator/>
      </w:r>
    </w:p>
    <w:p w:rsidR="00D71BA1" w:rsidRDefault="00D71BA1" w:rsidP="007E132D"/>
  </w:footnote>
  <w:footnote w:type="continuationSeparator" w:id="0">
    <w:p w:rsidR="00D71BA1" w:rsidRDefault="00D71BA1" w:rsidP="007E132D">
      <w:r>
        <w:continuationSeparator/>
      </w:r>
    </w:p>
    <w:p w:rsidR="00D71BA1" w:rsidRDefault="00D71BA1" w:rsidP="007E132D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363B" w:rsidRPr="00033BD2" w:rsidRDefault="001E0C3C" w:rsidP="00033BD2">
    <w:pPr>
      <w:pStyle w:val="Kopfzeile"/>
      <w:tabs>
        <w:tab w:val="clear" w:pos="4819"/>
        <w:tab w:val="clear" w:pos="9071"/>
      </w:tabs>
    </w:pPr>
    <w:r>
      <w:rPr>
        <w:noProof/>
      </w:rPr>
      <w:drawing>
        <wp:anchor distT="0" distB="0" distL="114300" distR="114300" simplePos="0" relativeHeight="251659264" behindDoc="1" locked="1" layoutInCell="0" allowOverlap="1">
          <wp:simplePos x="0" y="0"/>
          <wp:positionH relativeFrom="page">
            <wp:posOffset>5222240</wp:posOffset>
          </wp:positionH>
          <wp:positionV relativeFrom="page">
            <wp:posOffset>662305</wp:posOffset>
          </wp:positionV>
          <wp:extent cx="1529715" cy="367030"/>
          <wp:effectExtent l="0" t="0" r="0" b="0"/>
          <wp:wrapNone/>
          <wp:docPr id="6" name="Grafik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9715" cy="3670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240" behindDoc="1" locked="1" layoutInCell="0" allowOverlap="1">
          <wp:simplePos x="0" y="0"/>
          <wp:positionH relativeFrom="page">
            <wp:posOffset>811530</wp:posOffset>
          </wp:positionH>
          <wp:positionV relativeFrom="page">
            <wp:posOffset>798830</wp:posOffset>
          </wp:positionV>
          <wp:extent cx="1382395" cy="93345"/>
          <wp:effectExtent l="0" t="0" r="8255" b="1905"/>
          <wp:wrapNone/>
          <wp:docPr id="5" name="Grafik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9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2395" cy="93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363B" w:rsidRDefault="001E0C3C" w:rsidP="007E132D">
    <w:r>
      <w:rPr>
        <w:noProof/>
      </w:rPr>
      <w:drawing>
        <wp:anchor distT="0" distB="0" distL="114300" distR="114300" simplePos="0" relativeHeight="251656192" behindDoc="1" locked="0" layoutInCell="1" allowOverlap="1">
          <wp:simplePos x="0" y="0"/>
          <wp:positionH relativeFrom="column">
            <wp:posOffset>1419860</wp:posOffset>
          </wp:positionH>
          <wp:positionV relativeFrom="paragraph">
            <wp:posOffset>100330</wp:posOffset>
          </wp:positionV>
          <wp:extent cx="1645920" cy="277495"/>
          <wp:effectExtent l="0" t="0" r="0" b="8255"/>
          <wp:wrapTight wrapText="bothSides">
            <wp:wrapPolygon edited="0">
              <wp:start x="0" y="0"/>
              <wp:lineTo x="0" y="20760"/>
              <wp:lineTo x="21250" y="20760"/>
              <wp:lineTo x="21250" y="0"/>
              <wp:lineTo x="0" y="0"/>
            </wp:wrapPolygon>
          </wp:wrapTight>
          <wp:docPr id="2" name="Bild 25" descr="schul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25" descr="schule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13791" b="42715"/>
                  <a:stretch>
                    <a:fillRect/>
                  </a:stretch>
                </pic:blipFill>
                <pic:spPr bwMode="auto">
                  <a:xfrm>
                    <a:off x="0" y="0"/>
                    <a:ext cx="1645920" cy="2774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3363B">
      <w:tab/>
    </w:r>
  </w:p>
  <w:p w:rsidR="00E3363B" w:rsidRDefault="00E3363B" w:rsidP="007E132D"/>
  <w:p w:rsidR="00E3363B" w:rsidRPr="00A86ACD" w:rsidRDefault="001E0C3C" w:rsidP="007E132D">
    <w:pPr>
      <w:pStyle w:val="RohtextHandbuch"/>
      <w:rPr>
        <w:sz w:val="32"/>
      </w:rPr>
    </w:pPr>
    <w:r>
      <w:rPr>
        <w:noProof/>
      </w:rPr>
      <w:drawing>
        <wp:anchor distT="0" distB="0" distL="114300" distR="114300" simplePos="0" relativeHeight="251657216" behindDoc="1" locked="0" layoutInCell="1" allowOverlap="1">
          <wp:simplePos x="0" y="0"/>
          <wp:positionH relativeFrom="column">
            <wp:posOffset>3593465</wp:posOffset>
          </wp:positionH>
          <wp:positionV relativeFrom="paragraph">
            <wp:posOffset>100330</wp:posOffset>
          </wp:positionV>
          <wp:extent cx="2160270" cy="139700"/>
          <wp:effectExtent l="0" t="0" r="0" b="0"/>
          <wp:wrapTight wrapText="bothSides">
            <wp:wrapPolygon edited="0">
              <wp:start x="0" y="0"/>
              <wp:lineTo x="0" y="17673"/>
              <wp:lineTo x="21333" y="17673"/>
              <wp:lineTo x="21333" y="0"/>
              <wp:lineTo x="0" y="0"/>
            </wp:wrapPolygon>
          </wp:wrapTight>
          <wp:docPr id="1" name="Bild 28" descr="forming_the_future_p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28" descr="forming_the_future_po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60270" cy="139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E3363B" w:rsidRDefault="00E3363B" w:rsidP="007E132D"/>
  <w:p w:rsidR="00E3363B" w:rsidRDefault="00E3363B" w:rsidP="007E132D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6C5304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1EB04DA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">
    <w:nsid w:val="19C312DB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">
    <w:nsid w:val="25E029EC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32A64085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5">
    <w:nsid w:val="415A5C6E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>
    <w:nsid w:val="467122FC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7">
    <w:nsid w:val="46EB6C59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8">
    <w:nsid w:val="5AAF2878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9">
    <w:nsid w:val="61722099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0">
    <w:nsid w:val="6DA46EB9"/>
    <w:multiLevelType w:val="hybridMultilevel"/>
    <w:tmpl w:val="1116F602"/>
    <w:lvl w:ilvl="0" w:tplc="F096373A">
      <w:start w:val="20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CD964C2"/>
    <w:multiLevelType w:val="hybridMultilevel"/>
    <w:tmpl w:val="04440D58"/>
    <w:lvl w:ilvl="0" w:tplc="F096373A">
      <w:start w:val="20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5"/>
  </w:num>
  <w:num w:numId="5">
    <w:abstractNumId w:val="4"/>
  </w:num>
  <w:num w:numId="6">
    <w:abstractNumId w:val="9"/>
  </w:num>
  <w:num w:numId="7">
    <w:abstractNumId w:val="6"/>
  </w:num>
  <w:num w:numId="8">
    <w:abstractNumId w:val="0"/>
  </w:num>
  <w:num w:numId="9">
    <w:abstractNumId w:val="7"/>
  </w:num>
  <w:num w:numId="10">
    <w:abstractNumId w:val="8"/>
  </w:num>
  <w:num w:numId="11">
    <w:abstractNumId w:val="11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4337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3A40"/>
    <w:rsid w:val="00003CBE"/>
    <w:rsid w:val="00004C7F"/>
    <w:rsid w:val="00031750"/>
    <w:rsid w:val="00033BD2"/>
    <w:rsid w:val="000716BA"/>
    <w:rsid w:val="00086F40"/>
    <w:rsid w:val="000977BF"/>
    <w:rsid w:val="000A52A8"/>
    <w:rsid w:val="000B704A"/>
    <w:rsid w:val="000C0CAD"/>
    <w:rsid w:val="000E228F"/>
    <w:rsid w:val="000F2F77"/>
    <w:rsid w:val="00102187"/>
    <w:rsid w:val="00104309"/>
    <w:rsid w:val="001140D6"/>
    <w:rsid w:val="00130A5F"/>
    <w:rsid w:val="001344D3"/>
    <w:rsid w:val="00136218"/>
    <w:rsid w:val="00136E90"/>
    <w:rsid w:val="00142B31"/>
    <w:rsid w:val="00152C69"/>
    <w:rsid w:val="001631E1"/>
    <w:rsid w:val="0016339C"/>
    <w:rsid w:val="0016495A"/>
    <w:rsid w:val="00173722"/>
    <w:rsid w:val="0017697C"/>
    <w:rsid w:val="001C1FA2"/>
    <w:rsid w:val="001C3EE2"/>
    <w:rsid w:val="001E0C3C"/>
    <w:rsid w:val="001F3C71"/>
    <w:rsid w:val="001F6280"/>
    <w:rsid w:val="002077B7"/>
    <w:rsid w:val="00212513"/>
    <w:rsid w:val="00215C8A"/>
    <w:rsid w:val="002315E0"/>
    <w:rsid w:val="002712C2"/>
    <w:rsid w:val="002A1D04"/>
    <w:rsid w:val="002A2EE7"/>
    <w:rsid w:val="002A3A54"/>
    <w:rsid w:val="002A42B6"/>
    <w:rsid w:val="002A4B0E"/>
    <w:rsid w:val="002B391B"/>
    <w:rsid w:val="002B41E8"/>
    <w:rsid w:val="002B5343"/>
    <w:rsid w:val="002C7F83"/>
    <w:rsid w:val="003230D4"/>
    <w:rsid w:val="00323555"/>
    <w:rsid w:val="0036008C"/>
    <w:rsid w:val="00363740"/>
    <w:rsid w:val="00365A9E"/>
    <w:rsid w:val="003728F6"/>
    <w:rsid w:val="00373C01"/>
    <w:rsid w:val="00377DED"/>
    <w:rsid w:val="003C626A"/>
    <w:rsid w:val="003D76C7"/>
    <w:rsid w:val="003E30C0"/>
    <w:rsid w:val="003F0681"/>
    <w:rsid w:val="003F6888"/>
    <w:rsid w:val="00403EFF"/>
    <w:rsid w:val="00426F8C"/>
    <w:rsid w:val="004355F7"/>
    <w:rsid w:val="00476782"/>
    <w:rsid w:val="00476D9C"/>
    <w:rsid w:val="00485C6B"/>
    <w:rsid w:val="004C4B30"/>
    <w:rsid w:val="004C697D"/>
    <w:rsid w:val="004D76DD"/>
    <w:rsid w:val="00533491"/>
    <w:rsid w:val="0053730B"/>
    <w:rsid w:val="00552A9D"/>
    <w:rsid w:val="005547DF"/>
    <w:rsid w:val="00563A40"/>
    <w:rsid w:val="0056768B"/>
    <w:rsid w:val="00575FA0"/>
    <w:rsid w:val="005833D5"/>
    <w:rsid w:val="00595D96"/>
    <w:rsid w:val="005C0BBB"/>
    <w:rsid w:val="005C6AE3"/>
    <w:rsid w:val="005F6D99"/>
    <w:rsid w:val="00601238"/>
    <w:rsid w:val="0060142A"/>
    <w:rsid w:val="0064260C"/>
    <w:rsid w:val="00644B8E"/>
    <w:rsid w:val="0065451D"/>
    <w:rsid w:val="00654B60"/>
    <w:rsid w:val="00660D47"/>
    <w:rsid w:val="00671E3C"/>
    <w:rsid w:val="00674EF3"/>
    <w:rsid w:val="006813B8"/>
    <w:rsid w:val="0068251B"/>
    <w:rsid w:val="006848FF"/>
    <w:rsid w:val="00685662"/>
    <w:rsid w:val="00687868"/>
    <w:rsid w:val="00693559"/>
    <w:rsid w:val="006A31D9"/>
    <w:rsid w:val="006A659E"/>
    <w:rsid w:val="006A7F52"/>
    <w:rsid w:val="006B6631"/>
    <w:rsid w:val="006C086B"/>
    <w:rsid w:val="006C681D"/>
    <w:rsid w:val="006D7242"/>
    <w:rsid w:val="00714E5C"/>
    <w:rsid w:val="0072042B"/>
    <w:rsid w:val="00720730"/>
    <w:rsid w:val="00733AAF"/>
    <w:rsid w:val="00741CFE"/>
    <w:rsid w:val="007826E4"/>
    <w:rsid w:val="00784E5A"/>
    <w:rsid w:val="00794AEE"/>
    <w:rsid w:val="007B0BF4"/>
    <w:rsid w:val="007C16F5"/>
    <w:rsid w:val="007E132D"/>
    <w:rsid w:val="007E1606"/>
    <w:rsid w:val="007E264D"/>
    <w:rsid w:val="007E6801"/>
    <w:rsid w:val="007F4512"/>
    <w:rsid w:val="00821B54"/>
    <w:rsid w:val="00821E5D"/>
    <w:rsid w:val="0082228D"/>
    <w:rsid w:val="00822597"/>
    <w:rsid w:val="008258E8"/>
    <w:rsid w:val="008334D5"/>
    <w:rsid w:val="00865B83"/>
    <w:rsid w:val="008677BE"/>
    <w:rsid w:val="008718D2"/>
    <w:rsid w:val="0087295F"/>
    <w:rsid w:val="00876E6E"/>
    <w:rsid w:val="00877DC8"/>
    <w:rsid w:val="00894865"/>
    <w:rsid w:val="00895500"/>
    <w:rsid w:val="008A6CD6"/>
    <w:rsid w:val="008C6578"/>
    <w:rsid w:val="008D1374"/>
    <w:rsid w:val="008D5BBB"/>
    <w:rsid w:val="008D67FA"/>
    <w:rsid w:val="008E1F8F"/>
    <w:rsid w:val="008F3AC5"/>
    <w:rsid w:val="008F5E25"/>
    <w:rsid w:val="009060ED"/>
    <w:rsid w:val="00915F92"/>
    <w:rsid w:val="00920948"/>
    <w:rsid w:val="00926076"/>
    <w:rsid w:val="00941203"/>
    <w:rsid w:val="00961469"/>
    <w:rsid w:val="00965BBD"/>
    <w:rsid w:val="00975A13"/>
    <w:rsid w:val="00986782"/>
    <w:rsid w:val="009A680E"/>
    <w:rsid w:val="009B2577"/>
    <w:rsid w:val="009B3EB7"/>
    <w:rsid w:val="009D7BCE"/>
    <w:rsid w:val="009F65F3"/>
    <w:rsid w:val="00A0214C"/>
    <w:rsid w:val="00A2325C"/>
    <w:rsid w:val="00A31D72"/>
    <w:rsid w:val="00A32B85"/>
    <w:rsid w:val="00A46561"/>
    <w:rsid w:val="00A500A4"/>
    <w:rsid w:val="00A86ACD"/>
    <w:rsid w:val="00A9156A"/>
    <w:rsid w:val="00A91986"/>
    <w:rsid w:val="00A93519"/>
    <w:rsid w:val="00A949A3"/>
    <w:rsid w:val="00A94FEE"/>
    <w:rsid w:val="00AC04BB"/>
    <w:rsid w:val="00AC55D1"/>
    <w:rsid w:val="00AC6510"/>
    <w:rsid w:val="00AE3AFF"/>
    <w:rsid w:val="00AE4791"/>
    <w:rsid w:val="00AF19CA"/>
    <w:rsid w:val="00AF2D43"/>
    <w:rsid w:val="00AF64B9"/>
    <w:rsid w:val="00B01B58"/>
    <w:rsid w:val="00B06BC4"/>
    <w:rsid w:val="00B206B1"/>
    <w:rsid w:val="00B23715"/>
    <w:rsid w:val="00B307A6"/>
    <w:rsid w:val="00B46F0F"/>
    <w:rsid w:val="00B47659"/>
    <w:rsid w:val="00B55136"/>
    <w:rsid w:val="00B762C9"/>
    <w:rsid w:val="00C31659"/>
    <w:rsid w:val="00C72CD3"/>
    <w:rsid w:val="00C82B81"/>
    <w:rsid w:val="00C96DAD"/>
    <w:rsid w:val="00CA167A"/>
    <w:rsid w:val="00CB2B5C"/>
    <w:rsid w:val="00CC7CCA"/>
    <w:rsid w:val="00CD3AA7"/>
    <w:rsid w:val="00CE328C"/>
    <w:rsid w:val="00D024F1"/>
    <w:rsid w:val="00D07892"/>
    <w:rsid w:val="00D14566"/>
    <w:rsid w:val="00D15E35"/>
    <w:rsid w:val="00D16703"/>
    <w:rsid w:val="00D25001"/>
    <w:rsid w:val="00D36969"/>
    <w:rsid w:val="00D5679F"/>
    <w:rsid w:val="00D71BA1"/>
    <w:rsid w:val="00D76894"/>
    <w:rsid w:val="00D82AE7"/>
    <w:rsid w:val="00DA56E9"/>
    <w:rsid w:val="00DB3F3F"/>
    <w:rsid w:val="00DB73FC"/>
    <w:rsid w:val="00DC5C7D"/>
    <w:rsid w:val="00DD16C5"/>
    <w:rsid w:val="00DE35EB"/>
    <w:rsid w:val="00DE6930"/>
    <w:rsid w:val="00E176DC"/>
    <w:rsid w:val="00E207BB"/>
    <w:rsid w:val="00E2304D"/>
    <w:rsid w:val="00E26828"/>
    <w:rsid w:val="00E3363B"/>
    <w:rsid w:val="00E36721"/>
    <w:rsid w:val="00E5769E"/>
    <w:rsid w:val="00E6320B"/>
    <w:rsid w:val="00E85A97"/>
    <w:rsid w:val="00E90330"/>
    <w:rsid w:val="00E94A8B"/>
    <w:rsid w:val="00E94CAA"/>
    <w:rsid w:val="00EA0877"/>
    <w:rsid w:val="00EA7DC3"/>
    <w:rsid w:val="00EB1C2E"/>
    <w:rsid w:val="00ED2CA8"/>
    <w:rsid w:val="00EF5660"/>
    <w:rsid w:val="00F00D40"/>
    <w:rsid w:val="00F22F66"/>
    <w:rsid w:val="00F23AAD"/>
    <w:rsid w:val="00F44765"/>
    <w:rsid w:val="00F46480"/>
    <w:rsid w:val="00F5073A"/>
    <w:rsid w:val="00F654EB"/>
    <w:rsid w:val="00F7676C"/>
    <w:rsid w:val="00F830EC"/>
    <w:rsid w:val="00FD1AC7"/>
    <w:rsid w:val="00FE2FB7"/>
    <w:rsid w:val="00FE70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Date" w:uiPriority="5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7E132D"/>
    <w:pPr>
      <w:spacing w:line="360" w:lineRule="auto"/>
    </w:pPr>
    <w:rPr>
      <w:rFonts w:ascii="Calibri" w:hAnsi="Calibri"/>
      <w:sz w:val="22"/>
      <w:szCs w:val="22"/>
    </w:rPr>
  </w:style>
  <w:style w:type="paragraph" w:styleId="berschrift1">
    <w:name w:val="heading 1"/>
    <w:basedOn w:val="Standard"/>
    <w:next w:val="Standard"/>
    <w:qFormat/>
    <w:rsid w:val="00365A9E"/>
    <w:pPr>
      <w:keepNext/>
      <w:ind w:left="709" w:hanging="709"/>
      <w:outlineLvl w:val="0"/>
    </w:pPr>
    <w:rPr>
      <w:rFonts w:cs="Arial"/>
      <w:b/>
      <w:kern w:val="28"/>
      <w:sz w:val="28"/>
    </w:rPr>
  </w:style>
  <w:style w:type="paragraph" w:styleId="berschrift2">
    <w:name w:val="heading 2"/>
    <w:basedOn w:val="Standard"/>
    <w:next w:val="Standard"/>
    <w:qFormat/>
    <w:rsid w:val="00365A9E"/>
    <w:pPr>
      <w:keepLines/>
      <w:spacing w:after="60"/>
      <w:outlineLvl w:val="1"/>
    </w:pPr>
    <w:rPr>
      <w:rFonts w:cs="Arial"/>
      <w:b/>
      <w:szCs w:val="24"/>
    </w:rPr>
  </w:style>
  <w:style w:type="paragraph" w:styleId="berschrift3">
    <w:name w:val="heading 3"/>
    <w:basedOn w:val="Standard"/>
    <w:next w:val="Standard"/>
    <w:qFormat/>
    <w:rsid w:val="00CB2B5C"/>
    <w:pPr>
      <w:spacing w:before="120" w:after="120"/>
      <w:ind w:left="709" w:hanging="709"/>
      <w:outlineLvl w:val="2"/>
    </w:pPr>
    <w:rPr>
      <w:rFonts w:cs="Arial"/>
      <w:b/>
    </w:rPr>
  </w:style>
  <w:style w:type="paragraph" w:styleId="berschrift4">
    <w:name w:val="heading 4"/>
    <w:basedOn w:val="Standard"/>
    <w:next w:val="Standard"/>
    <w:qFormat/>
    <w:pPr>
      <w:keepNext/>
      <w:spacing w:before="180" w:after="120" w:line="240" w:lineRule="auto"/>
      <w:outlineLvl w:val="3"/>
    </w:pPr>
    <w:rPr>
      <w:i/>
    </w:rPr>
  </w:style>
  <w:style w:type="paragraph" w:styleId="berschrift5">
    <w:name w:val="heading 5"/>
    <w:basedOn w:val="Standard"/>
    <w:next w:val="Standard"/>
    <w:qFormat/>
    <w:pPr>
      <w:keepNext/>
      <w:outlineLvl w:val="4"/>
    </w:pPr>
    <w:rPr>
      <w:b/>
    </w:rPr>
  </w:style>
  <w:style w:type="paragraph" w:styleId="berschrift6">
    <w:name w:val="heading 6"/>
    <w:basedOn w:val="Standard"/>
    <w:next w:val="Standard"/>
    <w:qFormat/>
    <w:pPr>
      <w:keepNext/>
      <w:outlineLvl w:val="5"/>
    </w:pPr>
    <w:rPr>
      <w:b/>
      <w:snapToGrid w:val="0"/>
      <w:color w:val="000000"/>
    </w:rPr>
  </w:style>
  <w:style w:type="paragraph" w:styleId="berschrift7">
    <w:name w:val="heading 7"/>
    <w:basedOn w:val="Standard"/>
    <w:next w:val="Standard"/>
    <w:qFormat/>
    <w:pPr>
      <w:keepNext/>
      <w:ind w:right="-568"/>
      <w:outlineLvl w:val="6"/>
    </w:pPr>
    <w:rPr>
      <w:b/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opfkb">
    <w:name w:val="kopfkb"/>
    <w:basedOn w:val="Standard"/>
    <w:pPr>
      <w:spacing w:line="240" w:lineRule="auto"/>
      <w:jc w:val="right"/>
    </w:pPr>
    <w:rPr>
      <w:sz w:val="18"/>
    </w:rPr>
  </w:style>
  <w:style w:type="paragraph" w:customStyle="1" w:styleId="titel">
    <w:name w:val="titel"/>
    <w:basedOn w:val="Standard"/>
    <w:pPr>
      <w:ind w:left="2126"/>
      <w:jc w:val="center"/>
    </w:pPr>
    <w:rPr>
      <w:b/>
      <w:sz w:val="32"/>
    </w:rPr>
  </w:style>
  <w:style w:type="paragraph" w:styleId="Textkrper">
    <w:name w:val="Body Text"/>
    <w:basedOn w:val="Standard"/>
  </w:style>
  <w:style w:type="paragraph" w:customStyle="1" w:styleId="berschriftHaupt">
    <w:name w:val="Überschrift Haupt"/>
    <w:basedOn w:val="Textkrper"/>
    <w:pPr>
      <w:spacing w:before="240"/>
    </w:pPr>
    <w:rPr>
      <w:rFonts w:ascii="Arial" w:hAnsi="Arial"/>
      <w:b/>
    </w:rPr>
  </w:style>
  <w:style w:type="paragraph" w:customStyle="1" w:styleId="RohtextHandbuch">
    <w:name w:val="Rohtext Handbuch"/>
    <w:basedOn w:val="Standard"/>
    <w:pPr>
      <w:spacing w:after="160" w:line="400" w:lineRule="atLeast"/>
    </w:pPr>
  </w:style>
  <w:style w:type="paragraph" w:customStyle="1" w:styleId="Abbildungslegende">
    <w:name w:val="Abbildungslegende"/>
    <w:basedOn w:val="RohtextHandbuch"/>
    <w:pPr>
      <w:spacing w:after="0" w:line="240" w:lineRule="auto"/>
      <w:ind w:left="964" w:hanging="964"/>
    </w:pPr>
    <w:rPr>
      <w:sz w:val="20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Kopfzeile">
    <w:name w:val="header"/>
    <w:basedOn w:val="Standard"/>
    <w:pPr>
      <w:tabs>
        <w:tab w:val="center" w:pos="4819"/>
        <w:tab w:val="right" w:pos="9071"/>
      </w:tabs>
    </w:pPr>
    <w:rPr>
      <w:sz w:val="20"/>
    </w:rPr>
  </w:style>
  <w:style w:type="paragraph" w:styleId="Textkrper3">
    <w:name w:val="Body Text 3"/>
    <w:basedOn w:val="Standard"/>
  </w:style>
  <w:style w:type="character" w:styleId="Hyperlink">
    <w:name w:val="Hyperlink"/>
    <w:rPr>
      <w:color w:val="0000FF"/>
      <w:u w:val="single"/>
    </w:rPr>
  </w:style>
  <w:style w:type="paragraph" w:styleId="Textkrper-Zeileneinzug">
    <w:name w:val="Body Text Indent"/>
    <w:basedOn w:val="Standard"/>
    <w:pPr>
      <w:ind w:left="2124" w:hanging="2124"/>
    </w:pPr>
    <w:rPr>
      <w:i/>
    </w:rPr>
  </w:style>
  <w:style w:type="paragraph" w:styleId="Textkrper2">
    <w:name w:val="Body Text 2"/>
    <w:basedOn w:val="Standard"/>
    <w:pPr>
      <w:ind w:right="2833"/>
    </w:pPr>
    <w:rPr>
      <w:snapToGrid w:val="0"/>
      <w:color w:val="000000"/>
    </w:r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character" w:customStyle="1" w:styleId="Standard1">
    <w:name w:val="Standard1"/>
    <w:basedOn w:val="Absatz-Standardschriftart"/>
  </w:style>
  <w:style w:type="paragraph" w:customStyle="1" w:styleId="listenabsatz">
    <w:name w:val="listenabsatz"/>
    <w:basedOn w:val="Standard"/>
    <w:rsid w:val="00A86ACD"/>
    <w:pPr>
      <w:spacing w:before="100" w:beforeAutospacing="1" w:after="100" w:afterAutospacing="1"/>
    </w:pPr>
    <w:rPr>
      <w:rFonts w:eastAsia="MS Mincho"/>
      <w:szCs w:val="24"/>
    </w:rPr>
  </w:style>
  <w:style w:type="character" w:styleId="Seitenzahl">
    <w:name w:val="page number"/>
    <w:basedOn w:val="Absatz-Standardschriftart"/>
    <w:rsid w:val="00DC5C7D"/>
  </w:style>
  <w:style w:type="paragraph" w:styleId="Dokumentstruktur">
    <w:name w:val="Document Map"/>
    <w:basedOn w:val="Standard"/>
    <w:semiHidden/>
    <w:rsid w:val="00A0214C"/>
    <w:pPr>
      <w:shd w:val="clear" w:color="auto" w:fill="000080"/>
    </w:pPr>
    <w:rPr>
      <w:rFonts w:ascii="Tahoma" w:hAnsi="Tahoma" w:cs="Tahoma"/>
      <w:sz w:val="20"/>
    </w:rPr>
  </w:style>
  <w:style w:type="paragraph" w:styleId="Titel0">
    <w:name w:val="Title"/>
    <w:basedOn w:val="Standard"/>
    <w:next w:val="Standard"/>
    <w:link w:val="TitelZchn"/>
    <w:qFormat/>
    <w:rsid w:val="00215C8A"/>
    <w:pPr>
      <w:spacing w:before="240" w:after="60"/>
      <w:jc w:val="center"/>
      <w:outlineLvl w:val="0"/>
    </w:pPr>
    <w:rPr>
      <w:b/>
      <w:bCs/>
      <w:kern w:val="28"/>
      <w:sz w:val="32"/>
      <w:szCs w:val="32"/>
    </w:rPr>
  </w:style>
  <w:style w:type="character" w:customStyle="1" w:styleId="TitelZchn">
    <w:name w:val="Titel Zchn"/>
    <w:link w:val="Titel0"/>
    <w:rsid w:val="00215C8A"/>
    <w:rPr>
      <w:rFonts w:ascii="Schuler DIN Offc Pro" w:eastAsia="Times New Roman" w:hAnsi="Schuler DIN Offc Pro" w:cs="Times New Roman"/>
      <w:b/>
      <w:bCs/>
      <w:kern w:val="28"/>
      <w:sz w:val="32"/>
      <w:szCs w:val="32"/>
    </w:rPr>
  </w:style>
  <w:style w:type="table" w:styleId="Tabellenraster">
    <w:name w:val="Table Grid"/>
    <w:basedOn w:val="NormaleTabelle"/>
    <w:rsid w:val="003230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0">
    <w:name w:val="List Paragraph"/>
    <w:basedOn w:val="Standard"/>
    <w:uiPriority w:val="34"/>
    <w:qFormat/>
    <w:rsid w:val="00E94CAA"/>
    <w:pPr>
      <w:ind w:left="720"/>
      <w:contextualSpacing/>
    </w:pPr>
  </w:style>
  <w:style w:type="paragraph" w:customStyle="1" w:styleId="Absenderinformation">
    <w:name w:val="Absenderinformation"/>
    <w:basedOn w:val="Standard"/>
    <w:uiPriority w:val="4"/>
    <w:qFormat/>
    <w:rsid w:val="008F5E25"/>
    <w:pPr>
      <w:framePr w:hSpace="284" w:vSpace="9" w:wrap="around" w:vAnchor="page" w:hAnchor="page" w:x="8223" w:y="2927"/>
      <w:spacing w:line="226" w:lineRule="exact"/>
    </w:pPr>
    <w:rPr>
      <w:sz w:val="17"/>
      <w:szCs w:val="17"/>
      <w:lang w:eastAsia="en-US"/>
    </w:rPr>
  </w:style>
  <w:style w:type="table" w:customStyle="1" w:styleId="SCHULERAGEinfacheTabelle">
    <w:name w:val="SCHULER AG | Einfache Tabelle"/>
    <w:basedOn w:val="NormaleTabelle"/>
    <w:uiPriority w:val="99"/>
    <w:rsid w:val="00D76894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table" w:customStyle="1" w:styleId="SCHULERAGEinfacheTabelle1">
    <w:name w:val="SCHULER AG | Einfache Tabelle1"/>
    <w:basedOn w:val="NormaleTabelle"/>
    <w:uiPriority w:val="99"/>
    <w:rsid w:val="008718D2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paragraph" w:styleId="Datum">
    <w:name w:val="Date"/>
    <w:basedOn w:val="Standard"/>
    <w:next w:val="Standard"/>
    <w:link w:val="DatumZchn"/>
    <w:uiPriority w:val="5"/>
    <w:rsid w:val="008718D2"/>
    <w:pPr>
      <w:spacing w:line="226" w:lineRule="exact"/>
    </w:pPr>
    <w:rPr>
      <w:rFonts w:eastAsia="Calibri"/>
      <w:b/>
      <w:sz w:val="17"/>
      <w:lang w:eastAsia="en-US"/>
    </w:rPr>
  </w:style>
  <w:style w:type="character" w:customStyle="1" w:styleId="DatumZchn">
    <w:name w:val="Datum Zchn"/>
    <w:link w:val="Datum"/>
    <w:uiPriority w:val="5"/>
    <w:rsid w:val="008718D2"/>
    <w:rPr>
      <w:rFonts w:ascii="Calibri" w:eastAsia="Calibri" w:hAnsi="Calibri" w:cs="Times New Roman"/>
      <w:b/>
      <w:sz w:val="17"/>
      <w:szCs w:val="22"/>
      <w:lang w:eastAsia="en-US"/>
    </w:rPr>
  </w:style>
  <w:style w:type="table" w:customStyle="1" w:styleId="SCHULERAGEinfacheTabelle2">
    <w:name w:val="SCHULER AG | Einfache Tabelle2"/>
    <w:basedOn w:val="NormaleTabelle"/>
    <w:uiPriority w:val="99"/>
    <w:rsid w:val="008718D2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table" w:customStyle="1" w:styleId="SCHULERAGEinfacheTabelle3">
    <w:name w:val="SCHULER AG | Einfache Tabelle3"/>
    <w:basedOn w:val="NormaleTabelle"/>
    <w:uiPriority w:val="99"/>
    <w:rsid w:val="008718D2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character" w:styleId="Platzhaltertext">
    <w:name w:val="Placeholder Text"/>
    <w:uiPriority w:val="99"/>
    <w:semiHidden/>
    <w:rsid w:val="00136E90"/>
    <w:rPr>
      <w:color w:val="808080"/>
    </w:rPr>
  </w:style>
  <w:style w:type="table" w:customStyle="1" w:styleId="SCHULERAGEinfacheTabelle4">
    <w:name w:val="SCHULER AG | Einfache Tabelle4"/>
    <w:basedOn w:val="NormaleTabelle"/>
    <w:uiPriority w:val="99"/>
    <w:rsid w:val="00377DED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table" w:customStyle="1" w:styleId="SCHULERAGEinfacheTabelle5">
    <w:name w:val="SCHULER AG | Einfache Tabelle5"/>
    <w:basedOn w:val="NormaleTabelle"/>
    <w:uiPriority w:val="99"/>
    <w:rsid w:val="004C4B30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paragraph" w:customStyle="1" w:styleId="Unternehmensdaten">
    <w:name w:val="Unternehmensdaten"/>
    <w:basedOn w:val="Standard"/>
    <w:uiPriority w:val="6"/>
    <w:qFormat/>
    <w:rsid w:val="00D07892"/>
    <w:pPr>
      <w:spacing w:line="226" w:lineRule="exact"/>
    </w:pPr>
    <w:rPr>
      <w:rFonts w:asciiTheme="minorHAnsi" w:eastAsiaTheme="minorHAnsi" w:hAnsiTheme="minorHAnsi" w:cstheme="minorBidi"/>
      <w:sz w:val="17"/>
      <w:szCs w:val="17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Date" w:uiPriority="5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7E132D"/>
    <w:pPr>
      <w:spacing w:line="360" w:lineRule="auto"/>
    </w:pPr>
    <w:rPr>
      <w:rFonts w:ascii="Calibri" w:hAnsi="Calibri"/>
      <w:sz w:val="22"/>
      <w:szCs w:val="22"/>
    </w:rPr>
  </w:style>
  <w:style w:type="paragraph" w:styleId="berschrift1">
    <w:name w:val="heading 1"/>
    <w:basedOn w:val="Standard"/>
    <w:next w:val="Standard"/>
    <w:qFormat/>
    <w:rsid w:val="00365A9E"/>
    <w:pPr>
      <w:keepNext/>
      <w:ind w:left="709" w:hanging="709"/>
      <w:outlineLvl w:val="0"/>
    </w:pPr>
    <w:rPr>
      <w:rFonts w:cs="Arial"/>
      <w:b/>
      <w:kern w:val="28"/>
      <w:sz w:val="28"/>
    </w:rPr>
  </w:style>
  <w:style w:type="paragraph" w:styleId="berschrift2">
    <w:name w:val="heading 2"/>
    <w:basedOn w:val="Standard"/>
    <w:next w:val="Standard"/>
    <w:qFormat/>
    <w:rsid w:val="00365A9E"/>
    <w:pPr>
      <w:keepLines/>
      <w:spacing w:after="60"/>
      <w:outlineLvl w:val="1"/>
    </w:pPr>
    <w:rPr>
      <w:rFonts w:cs="Arial"/>
      <w:b/>
      <w:szCs w:val="24"/>
    </w:rPr>
  </w:style>
  <w:style w:type="paragraph" w:styleId="berschrift3">
    <w:name w:val="heading 3"/>
    <w:basedOn w:val="Standard"/>
    <w:next w:val="Standard"/>
    <w:qFormat/>
    <w:rsid w:val="00CB2B5C"/>
    <w:pPr>
      <w:spacing w:before="120" w:after="120"/>
      <w:ind w:left="709" w:hanging="709"/>
      <w:outlineLvl w:val="2"/>
    </w:pPr>
    <w:rPr>
      <w:rFonts w:cs="Arial"/>
      <w:b/>
    </w:rPr>
  </w:style>
  <w:style w:type="paragraph" w:styleId="berschrift4">
    <w:name w:val="heading 4"/>
    <w:basedOn w:val="Standard"/>
    <w:next w:val="Standard"/>
    <w:qFormat/>
    <w:pPr>
      <w:keepNext/>
      <w:spacing w:before="180" w:after="120" w:line="240" w:lineRule="auto"/>
      <w:outlineLvl w:val="3"/>
    </w:pPr>
    <w:rPr>
      <w:i/>
    </w:rPr>
  </w:style>
  <w:style w:type="paragraph" w:styleId="berschrift5">
    <w:name w:val="heading 5"/>
    <w:basedOn w:val="Standard"/>
    <w:next w:val="Standard"/>
    <w:qFormat/>
    <w:pPr>
      <w:keepNext/>
      <w:outlineLvl w:val="4"/>
    </w:pPr>
    <w:rPr>
      <w:b/>
    </w:rPr>
  </w:style>
  <w:style w:type="paragraph" w:styleId="berschrift6">
    <w:name w:val="heading 6"/>
    <w:basedOn w:val="Standard"/>
    <w:next w:val="Standard"/>
    <w:qFormat/>
    <w:pPr>
      <w:keepNext/>
      <w:outlineLvl w:val="5"/>
    </w:pPr>
    <w:rPr>
      <w:b/>
      <w:snapToGrid w:val="0"/>
      <w:color w:val="000000"/>
    </w:rPr>
  </w:style>
  <w:style w:type="paragraph" w:styleId="berschrift7">
    <w:name w:val="heading 7"/>
    <w:basedOn w:val="Standard"/>
    <w:next w:val="Standard"/>
    <w:qFormat/>
    <w:pPr>
      <w:keepNext/>
      <w:ind w:right="-568"/>
      <w:outlineLvl w:val="6"/>
    </w:pPr>
    <w:rPr>
      <w:b/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opfkb">
    <w:name w:val="kopfkb"/>
    <w:basedOn w:val="Standard"/>
    <w:pPr>
      <w:spacing w:line="240" w:lineRule="auto"/>
      <w:jc w:val="right"/>
    </w:pPr>
    <w:rPr>
      <w:sz w:val="18"/>
    </w:rPr>
  </w:style>
  <w:style w:type="paragraph" w:customStyle="1" w:styleId="titel">
    <w:name w:val="titel"/>
    <w:basedOn w:val="Standard"/>
    <w:pPr>
      <w:ind w:left="2126"/>
      <w:jc w:val="center"/>
    </w:pPr>
    <w:rPr>
      <w:b/>
      <w:sz w:val="32"/>
    </w:rPr>
  </w:style>
  <w:style w:type="paragraph" w:styleId="Textkrper">
    <w:name w:val="Body Text"/>
    <w:basedOn w:val="Standard"/>
  </w:style>
  <w:style w:type="paragraph" w:customStyle="1" w:styleId="berschriftHaupt">
    <w:name w:val="Überschrift Haupt"/>
    <w:basedOn w:val="Textkrper"/>
    <w:pPr>
      <w:spacing w:before="240"/>
    </w:pPr>
    <w:rPr>
      <w:rFonts w:ascii="Arial" w:hAnsi="Arial"/>
      <w:b/>
    </w:rPr>
  </w:style>
  <w:style w:type="paragraph" w:customStyle="1" w:styleId="RohtextHandbuch">
    <w:name w:val="Rohtext Handbuch"/>
    <w:basedOn w:val="Standard"/>
    <w:pPr>
      <w:spacing w:after="160" w:line="400" w:lineRule="atLeast"/>
    </w:pPr>
  </w:style>
  <w:style w:type="paragraph" w:customStyle="1" w:styleId="Abbildungslegende">
    <w:name w:val="Abbildungslegende"/>
    <w:basedOn w:val="RohtextHandbuch"/>
    <w:pPr>
      <w:spacing w:after="0" w:line="240" w:lineRule="auto"/>
      <w:ind w:left="964" w:hanging="964"/>
    </w:pPr>
    <w:rPr>
      <w:sz w:val="20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Kopfzeile">
    <w:name w:val="header"/>
    <w:basedOn w:val="Standard"/>
    <w:pPr>
      <w:tabs>
        <w:tab w:val="center" w:pos="4819"/>
        <w:tab w:val="right" w:pos="9071"/>
      </w:tabs>
    </w:pPr>
    <w:rPr>
      <w:sz w:val="20"/>
    </w:rPr>
  </w:style>
  <w:style w:type="paragraph" w:styleId="Textkrper3">
    <w:name w:val="Body Text 3"/>
    <w:basedOn w:val="Standard"/>
  </w:style>
  <w:style w:type="character" w:styleId="Hyperlink">
    <w:name w:val="Hyperlink"/>
    <w:rPr>
      <w:color w:val="0000FF"/>
      <w:u w:val="single"/>
    </w:rPr>
  </w:style>
  <w:style w:type="paragraph" w:styleId="Textkrper-Zeileneinzug">
    <w:name w:val="Body Text Indent"/>
    <w:basedOn w:val="Standard"/>
    <w:pPr>
      <w:ind w:left="2124" w:hanging="2124"/>
    </w:pPr>
    <w:rPr>
      <w:i/>
    </w:rPr>
  </w:style>
  <w:style w:type="paragraph" w:styleId="Textkrper2">
    <w:name w:val="Body Text 2"/>
    <w:basedOn w:val="Standard"/>
    <w:pPr>
      <w:ind w:right="2833"/>
    </w:pPr>
    <w:rPr>
      <w:snapToGrid w:val="0"/>
      <w:color w:val="000000"/>
    </w:r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character" w:customStyle="1" w:styleId="Standard1">
    <w:name w:val="Standard1"/>
    <w:basedOn w:val="Absatz-Standardschriftart"/>
  </w:style>
  <w:style w:type="paragraph" w:customStyle="1" w:styleId="listenabsatz">
    <w:name w:val="listenabsatz"/>
    <w:basedOn w:val="Standard"/>
    <w:rsid w:val="00A86ACD"/>
    <w:pPr>
      <w:spacing w:before="100" w:beforeAutospacing="1" w:after="100" w:afterAutospacing="1"/>
    </w:pPr>
    <w:rPr>
      <w:rFonts w:eastAsia="MS Mincho"/>
      <w:szCs w:val="24"/>
    </w:rPr>
  </w:style>
  <w:style w:type="character" w:styleId="Seitenzahl">
    <w:name w:val="page number"/>
    <w:basedOn w:val="Absatz-Standardschriftart"/>
    <w:rsid w:val="00DC5C7D"/>
  </w:style>
  <w:style w:type="paragraph" w:styleId="Dokumentstruktur">
    <w:name w:val="Document Map"/>
    <w:basedOn w:val="Standard"/>
    <w:semiHidden/>
    <w:rsid w:val="00A0214C"/>
    <w:pPr>
      <w:shd w:val="clear" w:color="auto" w:fill="000080"/>
    </w:pPr>
    <w:rPr>
      <w:rFonts w:ascii="Tahoma" w:hAnsi="Tahoma" w:cs="Tahoma"/>
      <w:sz w:val="20"/>
    </w:rPr>
  </w:style>
  <w:style w:type="paragraph" w:styleId="Titel0">
    <w:name w:val="Title"/>
    <w:basedOn w:val="Standard"/>
    <w:next w:val="Standard"/>
    <w:link w:val="TitelZchn"/>
    <w:qFormat/>
    <w:rsid w:val="00215C8A"/>
    <w:pPr>
      <w:spacing w:before="240" w:after="60"/>
      <w:jc w:val="center"/>
      <w:outlineLvl w:val="0"/>
    </w:pPr>
    <w:rPr>
      <w:b/>
      <w:bCs/>
      <w:kern w:val="28"/>
      <w:sz w:val="32"/>
      <w:szCs w:val="32"/>
    </w:rPr>
  </w:style>
  <w:style w:type="character" w:customStyle="1" w:styleId="TitelZchn">
    <w:name w:val="Titel Zchn"/>
    <w:link w:val="Titel0"/>
    <w:rsid w:val="00215C8A"/>
    <w:rPr>
      <w:rFonts w:ascii="Schuler DIN Offc Pro" w:eastAsia="Times New Roman" w:hAnsi="Schuler DIN Offc Pro" w:cs="Times New Roman"/>
      <w:b/>
      <w:bCs/>
      <w:kern w:val="28"/>
      <w:sz w:val="32"/>
      <w:szCs w:val="32"/>
    </w:rPr>
  </w:style>
  <w:style w:type="table" w:styleId="Tabellenraster">
    <w:name w:val="Table Grid"/>
    <w:basedOn w:val="NormaleTabelle"/>
    <w:rsid w:val="003230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0">
    <w:name w:val="List Paragraph"/>
    <w:basedOn w:val="Standard"/>
    <w:uiPriority w:val="34"/>
    <w:qFormat/>
    <w:rsid w:val="00E94CAA"/>
    <w:pPr>
      <w:ind w:left="720"/>
      <w:contextualSpacing/>
    </w:pPr>
  </w:style>
  <w:style w:type="paragraph" w:customStyle="1" w:styleId="Absenderinformation">
    <w:name w:val="Absenderinformation"/>
    <w:basedOn w:val="Standard"/>
    <w:uiPriority w:val="4"/>
    <w:qFormat/>
    <w:rsid w:val="008F5E25"/>
    <w:pPr>
      <w:framePr w:hSpace="284" w:vSpace="9" w:wrap="around" w:vAnchor="page" w:hAnchor="page" w:x="8223" w:y="2927"/>
      <w:spacing w:line="226" w:lineRule="exact"/>
    </w:pPr>
    <w:rPr>
      <w:sz w:val="17"/>
      <w:szCs w:val="17"/>
      <w:lang w:eastAsia="en-US"/>
    </w:rPr>
  </w:style>
  <w:style w:type="table" w:customStyle="1" w:styleId="SCHULERAGEinfacheTabelle">
    <w:name w:val="SCHULER AG | Einfache Tabelle"/>
    <w:basedOn w:val="NormaleTabelle"/>
    <w:uiPriority w:val="99"/>
    <w:rsid w:val="00D76894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table" w:customStyle="1" w:styleId="SCHULERAGEinfacheTabelle1">
    <w:name w:val="SCHULER AG | Einfache Tabelle1"/>
    <w:basedOn w:val="NormaleTabelle"/>
    <w:uiPriority w:val="99"/>
    <w:rsid w:val="008718D2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paragraph" w:styleId="Datum">
    <w:name w:val="Date"/>
    <w:basedOn w:val="Standard"/>
    <w:next w:val="Standard"/>
    <w:link w:val="DatumZchn"/>
    <w:uiPriority w:val="5"/>
    <w:rsid w:val="008718D2"/>
    <w:pPr>
      <w:spacing w:line="226" w:lineRule="exact"/>
    </w:pPr>
    <w:rPr>
      <w:rFonts w:eastAsia="Calibri"/>
      <w:b/>
      <w:sz w:val="17"/>
      <w:lang w:eastAsia="en-US"/>
    </w:rPr>
  </w:style>
  <w:style w:type="character" w:customStyle="1" w:styleId="DatumZchn">
    <w:name w:val="Datum Zchn"/>
    <w:link w:val="Datum"/>
    <w:uiPriority w:val="5"/>
    <w:rsid w:val="008718D2"/>
    <w:rPr>
      <w:rFonts w:ascii="Calibri" w:eastAsia="Calibri" w:hAnsi="Calibri" w:cs="Times New Roman"/>
      <w:b/>
      <w:sz w:val="17"/>
      <w:szCs w:val="22"/>
      <w:lang w:eastAsia="en-US"/>
    </w:rPr>
  </w:style>
  <w:style w:type="table" w:customStyle="1" w:styleId="SCHULERAGEinfacheTabelle2">
    <w:name w:val="SCHULER AG | Einfache Tabelle2"/>
    <w:basedOn w:val="NormaleTabelle"/>
    <w:uiPriority w:val="99"/>
    <w:rsid w:val="008718D2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table" w:customStyle="1" w:styleId="SCHULERAGEinfacheTabelle3">
    <w:name w:val="SCHULER AG | Einfache Tabelle3"/>
    <w:basedOn w:val="NormaleTabelle"/>
    <w:uiPriority w:val="99"/>
    <w:rsid w:val="008718D2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character" w:styleId="Platzhaltertext">
    <w:name w:val="Placeholder Text"/>
    <w:uiPriority w:val="99"/>
    <w:semiHidden/>
    <w:rsid w:val="00136E90"/>
    <w:rPr>
      <w:color w:val="808080"/>
    </w:rPr>
  </w:style>
  <w:style w:type="table" w:customStyle="1" w:styleId="SCHULERAGEinfacheTabelle4">
    <w:name w:val="SCHULER AG | Einfache Tabelle4"/>
    <w:basedOn w:val="NormaleTabelle"/>
    <w:uiPriority w:val="99"/>
    <w:rsid w:val="00377DED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table" w:customStyle="1" w:styleId="SCHULERAGEinfacheTabelle5">
    <w:name w:val="SCHULER AG | Einfache Tabelle5"/>
    <w:basedOn w:val="NormaleTabelle"/>
    <w:uiPriority w:val="99"/>
    <w:rsid w:val="004C4B30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paragraph" w:customStyle="1" w:styleId="Unternehmensdaten">
    <w:name w:val="Unternehmensdaten"/>
    <w:basedOn w:val="Standard"/>
    <w:uiPriority w:val="6"/>
    <w:qFormat/>
    <w:rsid w:val="00D07892"/>
    <w:pPr>
      <w:spacing w:line="226" w:lineRule="exact"/>
    </w:pPr>
    <w:rPr>
      <w:rFonts w:asciiTheme="minorHAnsi" w:eastAsiaTheme="minorHAnsi" w:hAnsiTheme="minorHAnsi" w:cstheme="minorBidi"/>
      <w:sz w:val="17"/>
      <w:szCs w:val="17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551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1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7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95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05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78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9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05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facebook.com/schulergroup" TargetMode="External"/><Relationship Id="rId18" Type="http://schemas.openxmlformats.org/officeDocument/2006/relationships/image" Target="media/image4.png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http://www.linkedin.com/companies/schuler-group" TargetMode="External"/><Relationship Id="rId7" Type="http://schemas.openxmlformats.org/officeDocument/2006/relationships/footnotes" Target="footnotes.xml"/><Relationship Id="rId12" Type="http://schemas.openxmlformats.org/officeDocument/2006/relationships/image" Target="media/image1.png"/><Relationship Id="rId17" Type="http://schemas.openxmlformats.org/officeDocument/2006/relationships/hyperlink" Target="http://www.youtube.com/schulergroup" TargetMode="External"/><Relationship Id="rId25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image" Target="media/image3.png"/><Relationship Id="rId20" Type="http://schemas.openxmlformats.org/officeDocument/2006/relationships/image" Target="media/image5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schulergroup.com" TargetMode="External"/><Relationship Id="rId24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hyperlink" Target="http://www.twitter.com/schulergroup" TargetMode="External"/><Relationship Id="rId23" Type="http://schemas.openxmlformats.org/officeDocument/2006/relationships/footer" Target="footer1.xml"/><Relationship Id="rId10" Type="http://schemas.openxmlformats.org/officeDocument/2006/relationships/hyperlink" Target="http://www.schulergroup.com/pr" TargetMode="External"/><Relationship Id="rId19" Type="http://schemas.openxmlformats.org/officeDocument/2006/relationships/hyperlink" Target="http://www.xing.com/companies/schulergroup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Ingo.Schnaitmann@schulergroup.com" TargetMode="External"/><Relationship Id="rId14" Type="http://schemas.openxmlformats.org/officeDocument/2006/relationships/image" Target="media/image2.png"/><Relationship Id="rId22" Type="http://schemas.openxmlformats.org/officeDocument/2006/relationships/header" Target="header1.xml"/><Relationship Id="rId27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7.wmf"/><Relationship Id="rId1" Type="http://schemas.openxmlformats.org/officeDocument/2006/relationships/image" Target="media/image6.wmf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9.png"/><Relationship Id="rId1" Type="http://schemas.openxmlformats.org/officeDocument/2006/relationships/image" Target="media/image8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M:\DATEN\GP\CC\Vorlagen\PM%20Vorlagen\Schuler%20PM_Vorlage_Deutsch_neu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B5C6AB-DE05-4698-9901-BE0E743D3F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Schuler PM_Vorlage_Deutsch_neu.dotx</Template>
  <TotalTime>0</TotalTime>
  <Pages>4</Pages>
  <Words>856</Words>
  <Characters>5400</Characters>
  <Application>Microsoft Office Word</Application>
  <DocSecurity>0</DocSecurity>
  <Lines>45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Das „Schuler Handbuch“</vt:lpstr>
    </vt:vector>
  </TitlesOfParts>
  <Company>Schuler</Company>
  <LinksUpToDate>false</LinksUpToDate>
  <CharactersWithSpaces>6244</CharactersWithSpaces>
  <SharedDoc>false</SharedDoc>
  <HLinks>
    <vt:vector size="24" baseType="variant">
      <vt:variant>
        <vt:i4>3670115</vt:i4>
      </vt:variant>
      <vt:variant>
        <vt:i4>9</vt:i4>
      </vt:variant>
      <vt:variant>
        <vt:i4>0</vt:i4>
      </vt:variant>
      <vt:variant>
        <vt:i4>5</vt:i4>
      </vt:variant>
      <vt:variant>
        <vt:lpwstr>http://www.craemer.com/</vt:lpwstr>
      </vt:variant>
      <vt:variant>
        <vt:lpwstr/>
      </vt:variant>
      <vt:variant>
        <vt:i4>4653141</vt:i4>
      </vt:variant>
      <vt:variant>
        <vt:i4>6</vt:i4>
      </vt:variant>
      <vt:variant>
        <vt:i4>0</vt:i4>
      </vt:variant>
      <vt:variant>
        <vt:i4>5</vt:i4>
      </vt:variant>
      <vt:variant>
        <vt:lpwstr>http://www.schulergroup.com/</vt:lpwstr>
      </vt:variant>
      <vt:variant>
        <vt:lpwstr/>
      </vt:variant>
      <vt:variant>
        <vt:i4>3473445</vt:i4>
      </vt:variant>
      <vt:variant>
        <vt:i4>3</vt:i4>
      </vt:variant>
      <vt:variant>
        <vt:i4>0</vt:i4>
      </vt:variant>
      <vt:variant>
        <vt:i4>5</vt:i4>
      </vt:variant>
      <vt:variant>
        <vt:lpwstr>http://www.schulergroup.com/pr</vt:lpwstr>
      </vt:variant>
      <vt:variant>
        <vt:lpwstr/>
      </vt:variant>
      <vt:variant>
        <vt:i4>4784172</vt:i4>
      </vt:variant>
      <vt:variant>
        <vt:i4>0</vt:i4>
      </vt:variant>
      <vt:variant>
        <vt:i4>0</vt:i4>
      </vt:variant>
      <vt:variant>
        <vt:i4>5</vt:i4>
      </vt:variant>
      <vt:variant>
        <vt:lpwstr>mailto:Simon.Scherrenbacher@%0Bschulergroup.com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Das „Schuler Handbuch“</dc:title>
  <dc:creator>Ingo Schnaitmann</dc:creator>
  <cp:lastModifiedBy>scherren</cp:lastModifiedBy>
  <cp:revision>14</cp:revision>
  <cp:lastPrinted>2014-07-31T09:49:00Z</cp:lastPrinted>
  <dcterms:created xsi:type="dcterms:W3CDTF">2014-07-31T09:37:00Z</dcterms:created>
  <dcterms:modified xsi:type="dcterms:W3CDTF">2014-08-05T09:29:00Z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