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D96" w:rsidRDefault="00F7676C" w:rsidP="00365A9E">
      <w:pPr>
        <w:pStyle w:val="berschrift1"/>
      </w:pPr>
      <w:r w:rsidRPr="007E132D">
        <w:t>PRESSEMITTEILUNG</w:t>
      </w:r>
    </w:p>
    <w:tbl>
      <w:tblPr>
        <w:tblpPr w:leftFromText="284" w:topFromText="9" w:bottomFromText="190" w:vertAnchor="page" w:horzAnchor="page" w:tblpX="8223" w:tblpY="2927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</w:tblGrid>
      <w:tr w:rsidR="004C4B30" w:rsidRPr="004C4B30" w:rsidTr="008E1F8F">
        <w:trPr>
          <w:trHeight w:hRule="exact" w:val="2977"/>
        </w:trPr>
        <w:tc>
          <w:tcPr>
            <w:tcW w:w="2409" w:type="dxa"/>
            <w:shd w:val="clear" w:color="auto" w:fill="auto"/>
          </w:tcPr>
          <w:p w:rsidR="004C4B30" w:rsidRPr="004C4B30" w:rsidRDefault="004C4B30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b/>
                <w:sz w:val="17"/>
                <w:szCs w:val="17"/>
                <w:lang w:eastAsia="en-US"/>
              </w:rPr>
              <w:t>Schuler AG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Bahnhofstraße 41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73033 Göppingen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</w:p>
          <w:p w:rsidR="004C4B30" w:rsidRPr="008E1F8F" w:rsidRDefault="005F6D99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>
              <w:rPr>
                <w:rFonts w:eastAsia="Calibri"/>
                <w:b/>
                <w:sz w:val="17"/>
                <w:szCs w:val="17"/>
                <w:lang w:eastAsia="en-US"/>
              </w:rPr>
              <w:t>Ingo Schnaitmann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8E1F8F">
              <w:rPr>
                <w:rFonts w:eastAsia="Calibri"/>
                <w:sz w:val="17"/>
                <w:szCs w:val="17"/>
                <w:lang w:eastAsia="en-US"/>
              </w:rPr>
              <w:t>Unternehmenskommunikation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Telefon +49 7161 66-</w:t>
            </w:r>
            <w:r w:rsidR="005F6D99">
              <w:rPr>
                <w:rFonts w:eastAsia="Calibri"/>
                <w:sz w:val="17"/>
                <w:szCs w:val="17"/>
                <w:lang w:eastAsia="en-US"/>
              </w:rPr>
              <w:t>201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Fax +49 7161 66-907</w:t>
            </w:r>
          </w:p>
          <w:p w:rsidR="004C4B30" w:rsidRPr="004C4B30" w:rsidRDefault="00A00E22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hyperlink r:id="rId9" w:history="1">
              <w:r w:rsidR="005F6D99" w:rsidRPr="00EF5D9C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t>Ingo.Schnaitmann@</w:t>
              </w:r>
              <w:r w:rsidR="005F6D99" w:rsidRPr="00EF5D9C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br/>
                <w:t>schulergroup.com</w:t>
              </w:r>
            </w:hyperlink>
          </w:p>
          <w:p w:rsidR="004C4B30" w:rsidRPr="004C4B30" w:rsidRDefault="00A00E22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hyperlink r:id="rId10" w:history="1">
              <w:r w:rsidR="004C4B3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t>www.schulergroup.com/pr</w:t>
              </w:r>
            </w:hyperlink>
          </w:p>
        </w:tc>
      </w:tr>
    </w:tbl>
    <w:p w:rsidR="007E1606" w:rsidRDefault="007E1606" w:rsidP="007E132D"/>
    <w:p w:rsidR="00476D9C" w:rsidRDefault="00476D9C" w:rsidP="007E132D"/>
    <w:p w:rsidR="00476D9C" w:rsidRDefault="00476D9C" w:rsidP="007E132D"/>
    <w:p w:rsidR="00476D9C" w:rsidRPr="00476D9C" w:rsidRDefault="008F4FED" w:rsidP="00365A9E">
      <w:pPr>
        <w:pStyle w:val="berschrift1"/>
        <w:rPr>
          <w:sz w:val="2"/>
        </w:rPr>
      </w:pPr>
      <w:r>
        <w:t>Auftragsschub im ersten Quartal</w:t>
      </w:r>
      <w:r w:rsidR="00E30CB4">
        <w:t xml:space="preserve"> </w:t>
      </w:r>
      <w:r w:rsidR="006C164F">
        <w:t>2014</w:t>
      </w:r>
    </w:p>
    <w:p w:rsidR="006A31D9" w:rsidRDefault="0027388F" w:rsidP="00365A9E">
      <w:pPr>
        <w:pStyle w:val="berschrift2"/>
      </w:pPr>
      <w:r>
        <w:t xml:space="preserve">Rund 20 Prozent </w:t>
      </w:r>
      <w:r w:rsidR="006C164F">
        <w:t>mehr Bestellungen</w:t>
      </w:r>
      <w:r w:rsidR="00C37957">
        <w:t xml:space="preserve"> – </w:t>
      </w:r>
      <w:r w:rsidR="006C164F">
        <w:t xml:space="preserve">Leichter </w:t>
      </w:r>
      <w:r w:rsidR="00C37957">
        <w:t>Zuwachs beim Konzernergebnis</w:t>
      </w:r>
    </w:p>
    <w:p w:rsidR="00476D9C" w:rsidRPr="00476D9C" w:rsidRDefault="00476D9C" w:rsidP="00476D9C"/>
    <w:p w:rsidR="0027388F" w:rsidRDefault="00C82B81" w:rsidP="00C82B81">
      <w:r>
        <w:rPr>
          <w:i/>
        </w:rPr>
        <w:t xml:space="preserve">Göppingen, </w:t>
      </w:r>
      <w:r w:rsidR="006C164F">
        <w:rPr>
          <w:i/>
        </w:rPr>
        <w:t>06</w:t>
      </w:r>
      <w:r w:rsidR="005833D5">
        <w:rPr>
          <w:i/>
        </w:rPr>
        <w:t>.</w:t>
      </w:r>
      <w:r w:rsidR="006C164F">
        <w:rPr>
          <w:i/>
        </w:rPr>
        <w:t>05</w:t>
      </w:r>
      <w:r w:rsidR="005833D5" w:rsidRPr="005833D5">
        <w:rPr>
          <w:i/>
        </w:rPr>
        <w:t>.201</w:t>
      </w:r>
      <w:r w:rsidR="005833D5">
        <w:rPr>
          <w:i/>
        </w:rPr>
        <w:t>4</w:t>
      </w:r>
      <w:r w:rsidR="005833D5" w:rsidRPr="005833D5">
        <w:rPr>
          <w:i/>
        </w:rPr>
        <w:t xml:space="preserve"> </w:t>
      </w:r>
      <w:r w:rsidR="000F2F77">
        <w:t>–</w:t>
      </w:r>
      <w:r w:rsidR="005833D5">
        <w:t xml:space="preserve"> </w:t>
      </w:r>
      <w:r w:rsidR="00E30CB4">
        <w:t>„</w:t>
      </w:r>
      <w:r w:rsidR="00537D57" w:rsidRPr="00537D57">
        <w:t>Schuler ist mit dem ersten Quartal erfolgreich i</w:t>
      </w:r>
      <w:r w:rsidR="00537D57">
        <w:t xml:space="preserve">ns neue Geschäftsjahr </w:t>
      </w:r>
      <w:r w:rsidR="00320C80">
        <w:t xml:space="preserve">2014 </w:t>
      </w:r>
      <w:r w:rsidR="00537D57">
        <w:t>gestartet</w:t>
      </w:r>
      <w:r w:rsidR="00E30CB4" w:rsidRPr="001E14E2">
        <w:t>“</w:t>
      </w:r>
      <w:r w:rsidR="00213BD4" w:rsidRPr="001E14E2">
        <w:t>,</w:t>
      </w:r>
      <w:r w:rsidR="00213BD4">
        <w:t xml:space="preserve"> erklärte Vorstandschef Stefan Klebert </w:t>
      </w:r>
      <w:r w:rsidR="00213BD4" w:rsidRPr="00213BD4">
        <w:t>anlässlich der Vorlage des Zwischenberichts</w:t>
      </w:r>
      <w:r w:rsidR="006C164F">
        <w:t xml:space="preserve"> in Göppingen</w:t>
      </w:r>
      <w:r w:rsidR="00213BD4">
        <w:t xml:space="preserve">. </w:t>
      </w:r>
      <w:r w:rsidR="004C3354">
        <w:t>Von Januar bis März 2014 stiegen die</w:t>
      </w:r>
      <w:r w:rsidR="00213BD4">
        <w:t xml:space="preserve"> Aufträge </w:t>
      </w:r>
      <w:r w:rsidR="004C3354">
        <w:t xml:space="preserve">gegenüber dem Vorjahresquartal </w:t>
      </w:r>
      <w:r w:rsidR="00A74051">
        <w:t>um 19,8 Prozent auf 319,8 Millionen Euro</w:t>
      </w:r>
      <w:r w:rsidR="004C3354">
        <w:t xml:space="preserve">. </w:t>
      </w:r>
      <w:r w:rsidR="00A74051">
        <w:t>Deutliche Zugewinne verbuchte der Pressenhersteller in Asien</w:t>
      </w:r>
      <w:r w:rsidR="004C3354">
        <w:t xml:space="preserve">, und hier </w:t>
      </w:r>
      <w:r w:rsidR="00A74051">
        <w:t xml:space="preserve">insbesondere </w:t>
      </w:r>
      <w:r w:rsidR="004C1F83">
        <w:t xml:space="preserve">in </w:t>
      </w:r>
      <w:r w:rsidR="00A74051">
        <w:t xml:space="preserve">China, </w:t>
      </w:r>
      <w:r w:rsidR="004C1F83">
        <w:t xml:space="preserve">sowie in </w:t>
      </w:r>
      <w:r w:rsidR="00A74051">
        <w:t>Südamerika und in der Golf-Region. In Europa erhielt Schuler den bislang größten Serviceauftrag</w:t>
      </w:r>
      <w:r w:rsidR="0027388F">
        <w:t xml:space="preserve">. </w:t>
      </w:r>
      <w:r w:rsidR="0027388F" w:rsidRPr="0027388F">
        <w:t xml:space="preserve">Der Umsatz lag mit </w:t>
      </w:r>
      <w:r w:rsidR="0027388F">
        <w:t>258,0</w:t>
      </w:r>
      <w:r w:rsidR="0027388F" w:rsidRPr="0027388F">
        <w:t xml:space="preserve"> Mi</w:t>
      </w:r>
      <w:r w:rsidR="0027388F">
        <w:t xml:space="preserve">llionen Euro </w:t>
      </w:r>
      <w:r w:rsidR="0027388F" w:rsidRPr="0027388F">
        <w:t xml:space="preserve">um </w:t>
      </w:r>
      <w:r w:rsidR="0027388F">
        <w:t>16,0</w:t>
      </w:r>
      <w:r w:rsidR="00A378A9">
        <w:t xml:space="preserve"> Prozent</w:t>
      </w:r>
      <w:r w:rsidR="0027388F" w:rsidRPr="0027388F">
        <w:t xml:space="preserve"> unter </w:t>
      </w:r>
      <w:r w:rsidR="0027388F">
        <w:t xml:space="preserve">dem vergleichbaren </w:t>
      </w:r>
      <w:r w:rsidR="0027388F" w:rsidRPr="0027388F">
        <w:t>Vorjahr</w:t>
      </w:r>
      <w:r w:rsidR="0027388F">
        <w:t>esquartal</w:t>
      </w:r>
      <w:r w:rsidR="0027388F" w:rsidRPr="0027388F">
        <w:t>.</w:t>
      </w:r>
      <w:r w:rsidR="0027388F">
        <w:t xml:space="preserve"> Hier wirkte sich </w:t>
      </w:r>
      <w:r w:rsidR="004C3354">
        <w:t xml:space="preserve">erwartungsgemäß </w:t>
      </w:r>
      <w:r w:rsidR="0027388F">
        <w:t xml:space="preserve">der </w:t>
      </w:r>
      <w:r w:rsidR="00633679">
        <w:t>Orderrückgang</w:t>
      </w:r>
      <w:r w:rsidR="0027388F">
        <w:t xml:space="preserve"> des Vorjahres aus.</w:t>
      </w:r>
    </w:p>
    <w:p w:rsidR="00633679" w:rsidRDefault="00633679" w:rsidP="00C82B81"/>
    <w:p w:rsidR="00537D57" w:rsidRDefault="00C37957" w:rsidP="0016577D">
      <w:pPr>
        <w:rPr>
          <w:rFonts w:asciiTheme="minorHAnsi" w:hAnsiTheme="minorHAnsi" w:cstheme="minorBidi"/>
          <w:color w:val="000000" w:themeColor="text1"/>
        </w:rPr>
      </w:pPr>
      <w:r>
        <w:t>D</w:t>
      </w:r>
      <w:r w:rsidR="006B4DC2">
        <w:t xml:space="preserve">er Betriebsgewinn </w:t>
      </w:r>
      <w:r>
        <w:t xml:space="preserve">vor Zinsen, Steuern und Abschreibungen auf immaterielle Vermögensgegenstände </w:t>
      </w:r>
      <w:r w:rsidR="006B4DC2">
        <w:t>(</w:t>
      </w:r>
      <w:proofErr w:type="spellStart"/>
      <w:r w:rsidR="00652DA3">
        <w:t>Ebita</w:t>
      </w:r>
      <w:proofErr w:type="spellEnd"/>
      <w:r w:rsidR="006B4DC2">
        <w:t xml:space="preserve">) </w:t>
      </w:r>
      <w:r>
        <w:t xml:space="preserve">blieb umsatzbedingt mit 17,5 Millionen Euro unter dem </w:t>
      </w:r>
      <w:r w:rsidR="004C3354">
        <w:t>Vorjahresw</w:t>
      </w:r>
      <w:r>
        <w:t>ert von 26,4 Millionen Eu</w:t>
      </w:r>
      <w:r w:rsidR="006B4DC2">
        <w:t>ro</w:t>
      </w:r>
      <w:r>
        <w:t xml:space="preserve">. Die </w:t>
      </w:r>
      <w:proofErr w:type="spellStart"/>
      <w:r w:rsidR="00652DA3">
        <w:t>Ebita</w:t>
      </w:r>
      <w:proofErr w:type="spellEnd"/>
      <w:r>
        <w:t xml:space="preserve">-Marge erreichte 6,8 </w:t>
      </w:r>
      <w:r w:rsidR="006B4DC2">
        <w:t xml:space="preserve">Prozent. Das Konzernergebnis von Schuler </w:t>
      </w:r>
      <w:r w:rsidR="0016577D">
        <w:t>erhöhte</w:t>
      </w:r>
      <w:r w:rsidR="006B4DC2">
        <w:t xml:space="preserve"> sich von 10,7 auf </w:t>
      </w:r>
      <w:r w:rsidR="006B4DC2" w:rsidRPr="00C21DF3">
        <w:t>11,</w:t>
      </w:r>
      <w:r w:rsidR="006B4DC2">
        <w:t>3 Millionen Euro</w:t>
      </w:r>
      <w:r w:rsidR="001627CE">
        <w:t xml:space="preserve"> aufgrund geringerer Zins- und Steuerbelastungen</w:t>
      </w:r>
      <w:r w:rsidR="006B4DC2">
        <w:t xml:space="preserve">. </w:t>
      </w:r>
    </w:p>
    <w:p w:rsidR="00537D57" w:rsidRDefault="00537D57" w:rsidP="00C82B81"/>
    <w:p w:rsidR="002F714D" w:rsidRDefault="006B4DC2" w:rsidP="00C82B81">
      <w:bookmarkStart w:id="0" w:name="_GoBack"/>
      <w:r>
        <w:t xml:space="preserve">Der Nettofinanzstatus nahm </w:t>
      </w:r>
      <w:r w:rsidR="0016577D">
        <w:t>zum</w:t>
      </w:r>
      <w:r>
        <w:t xml:space="preserve"> Quartalsende auf 307,8 Millionen Euro zu</w:t>
      </w:r>
      <w:r w:rsidR="00D836C1">
        <w:t>. D</w:t>
      </w:r>
      <w:r w:rsidR="00CC0824">
        <w:t>as Eigenkapital</w:t>
      </w:r>
      <w:r w:rsidR="004C3354">
        <w:t xml:space="preserve"> erhöhte </w:t>
      </w:r>
      <w:r w:rsidR="001C7714">
        <w:t xml:space="preserve">sich </w:t>
      </w:r>
      <w:r w:rsidR="00D836C1">
        <w:t xml:space="preserve">um 4,2 Prozent </w:t>
      </w:r>
      <w:r w:rsidR="00CC0824">
        <w:t>auf 286,3 Millionen Euro</w:t>
      </w:r>
      <w:r w:rsidR="0016577D">
        <w:t xml:space="preserve">. </w:t>
      </w:r>
      <w:bookmarkEnd w:id="0"/>
      <w:r w:rsidR="00EB1657">
        <w:lastRenderedPageBreak/>
        <w:t>„</w:t>
      </w:r>
      <w:r w:rsidR="00D57009">
        <w:t xml:space="preserve">Schuler hat sich in den vergangenen Jahren eine starke </w:t>
      </w:r>
      <w:r w:rsidR="008959C2">
        <w:t>Marktp</w:t>
      </w:r>
      <w:r w:rsidR="00D57009">
        <w:t xml:space="preserve">osition </w:t>
      </w:r>
      <w:r w:rsidR="008959C2">
        <w:t xml:space="preserve">und </w:t>
      </w:r>
      <w:r w:rsidR="00CC0824">
        <w:t xml:space="preserve">eine </w:t>
      </w:r>
      <w:r w:rsidR="008959C2">
        <w:t xml:space="preserve">solide finanzielle Basis </w:t>
      </w:r>
      <w:r w:rsidR="00D57009">
        <w:t>erarbeitet. Diese</w:t>
      </w:r>
      <w:r w:rsidR="008959C2">
        <w:t>n</w:t>
      </w:r>
      <w:r w:rsidR="00D57009">
        <w:t xml:space="preserve"> </w:t>
      </w:r>
      <w:r w:rsidR="008959C2" w:rsidRPr="00652DA3">
        <w:t xml:space="preserve">Erfolgskurs </w:t>
      </w:r>
      <w:r w:rsidR="00D57009">
        <w:t xml:space="preserve">gilt es, </w:t>
      </w:r>
      <w:r w:rsidR="008959C2" w:rsidRPr="00652DA3">
        <w:t xml:space="preserve">weiter </w:t>
      </w:r>
      <w:r w:rsidR="00652DA3" w:rsidRPr="00652DA3">
        <w:t>fortzusetzen</w:t>
      </w:r>
      <w:r w:rsidR="007C0827">
        <w:t>“, sagte Klebert</w:t>
      </w:r>
      <w:r w:rsidR="008959C2">
        <w:t xml:space="preserve"> mit Blick auf </w:t>
      </w:r>
      <w:r w:rsidR="00CC0824">
        <w:t xml:space="preserve">die </w:t>
      </w:r>
      <w:r w:rsidR="008959C2">
        <w:t xml:space="preserve">Finanzkennzahlen. </w:t>
      </w:r>
    </w:p>
    <w:p w:rsidR="008959C2" w:rsidRDefault="008959C2" w:rsidP="00C82B81"/>
    <w:p w:rsidR="007E1606" w:rsidRDefault="002F714D" w:rsidP="00C82B81">
      <w:r>
        <w:t xml:space="preserve">Zudem hat das Unternehmen den Ausblick für das Geschäftsjahr 2014 bestätigt. Schuler erwartet für 2014 </w:t>
      </w:r>
      <w:r w:rsidR="004C3354">
        <w:t xml:space="preserve">unverändert </w:t>
      </w:r>
      <w:r>
        <w:t>einen Gesamtumsatz von rund 1,1 Milliarde</w:t>
      </w:r>
      <w:r w:rsidR="00CC0824">
        <w:t>n</w:t>
      </w:r>
      <w:r>
        <w:t xml:space="preserve"> Euro sowie eine </w:t>
      </w:r>
      <w:proofErr w:type="spellStart"/>
      <w:r w:rsidR="00652DA3">
        <w:t>Ebita</w:t>
      </w:r>
      <w:proofErr w:type="spellEnd"/>
      <w:r>
        <w:t xml:space="preserve">-Marge von 6 bis 7 Prozent. „Der </w:t>
      </w:r>
      <w:r w:rsidR="00A328B1">
        <w:t xml:space="preserve">hohe Auftragsbestand von </w:t>
      </w:r>
      <w:r>
        <w:t xml:space="preserve">rund 1,1 Milliarden Euro </w:t>
      </w:r>
      <w:r w:rsidR="00EB1657">
        <w:t xml:space="preserve">bildet für unsere Umsatz- und Ergebnisprognose </w:t>
      </w:r>
      <w:r w:rsidR="00A328B1">
        <w:t xml:space="preserve">2014 </w:t>
      </w:r>
      <w:r>
        <w:t xml:space="preserve">eine solide Grundlage“, meinte Klebert abschließend. </w:t>
      </w:r>
      <w:r w:rsidR="0028304C" w:rsidRPr="0028304C">
        <w:t>Ende März</w:t>
      </w:r>
      <w:r w:rsidR="0028304C">
        <w:t xml:space="preserve"> 2014 beschäftigte der </w:t>
      </w:r>
      <w:r w:rsidR="0028304C" w:rsidRPr="0028304C">
        <w:t>Konzern 5.494 Mitarbeiter.</w:t>
      </w:r>
    </w:p>
    <w:p w:rsidR="00213BD4" w:rsidRDefault="00213BD4" w:rsidP="007E1606"/>
    <w:p w:rsidR="00213BD4" w:rsidRPr="00213BD4" w:rsidRDefault="00213BD4" w:rsidP="00213BD4">
      <w:r w:rsidRPr="00213BD4">
        <w:rPr>
          <w:b/>
        </w:rPr>
        <w:t xml:space="preserve">Schuler-Konzernkennzahlen: </w:t>
      </w:r>
    </w:p>
    <w:tbl>
      <w:tblPr>
        <w:tblW w:w="7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4"/>
        <w:gridCol w:w="933"/>
        <w:gridCol w:w="2056"/>
        <w:gridCol w:w="1985"/>
      </w:tblGrid>
      <w:tr w:rsidR="00213BD4" w:rsidRPr="00213BD4" w:rsidTr="00537D57">
        <w:tc>
          <w:tcPr>
            <w:tcW w:w="2364" w:type="dxa"/>
            <w:shd w:val="clear" w:color="auto" w:fill="auto"/>
          </w:tcPr>
          <w:p w:rsidR="00213BD4" w:rsidRPr="00213BD4" w:rsidRDefault="00213BD4" w:rsidP="00213BD4"/>
        </w:tc>
        <w:tc>
          <w:tcPr>
            <w:tcW w:w="933" w:type="dxa"/>
            <w:shd w:val="clear" w:color="auto" w:fill="auto"/>
          </w:tcPr>
          <w:p w:rsidR="00213BD4" w:rsidRPr="00213BD4" w:rsidRDefault="00213BD4" w:rsidP="00213BD4"/>
        </w:tc>
        <w:tc>
          <w:tcPr>
            <w:tcW w:w="2056" w:type="dxa"/>
            <w:shd w:val="clear" w:color="auto" w:fill="auto"/>
          </w:tcPr>
          <w:p w:rsidR="00213BD4" w:rsidRPr="00213BD4" w:rsidRDefault="00213BD4" w:rsidP="00537D57">
            <w:pPr>
              <w:rPr>
                <w:b/>
              </w:rPr>
            </w:pPr>
            <w:r w:rsidRPr="00213BD4">
              <w:rPr>
                <w:b/>
              </w:rPr>
              <w:t xml:space="preserve">01.01. - </w:t>
            </w:r>
            <w:r w:rsidR="00537D57">
              <w:rPr>
                <w:b/>
              </w:rPr>
              <w:t>31</w:t>
            </w:r>
            <w:r w:rsidRPr="00213BD4">
              <w:rPr>
                <w:b/>
              </w:rPr>
              <w:t>.03.2014</w:t>
            </w:r>
          </w:p>
        </w:tc>
        <w:tc>
          <w:tcPr>
            <w:tcW w:w="1985" w:type="dxa"/>
            <w:shd w:val="clear" w:color="auto" w:fill="auto"/>
          </w:tcPr>
          <w:p w:rsidR="00213BD4" w:rsidRPr="00213BD4" w:rsidRDefault="00213BD4" w:rsidP="00537D57">
            <w:r w:rsidRPr="00213BD4">
              <w:t xml:space="preserve">01.01. - </w:t>
            </w:r>
            <w:r w:rsidR="00537D57">
              <w:t>31</w:t>
            </w:r>
            <w:r w:rsidRPr="00213BD4">
              <w:t>.03.2013</w:t>
            </w:r>
          </w:p>
        </w:tc>
      </w:tr>
      <w:tr w:rsidR="00213BD4" w:rsidRPr="00213BD4" w:rsidTr="00537D57">
        <w:tc>
          <w:tcPr>
            <w:tcW w:w="2364" w:type="dxa"/>
            <w:shd w:val="clear" w:color="auto" w:fill="auto"/>
          </w:tcPr>
          <w:p w:rsidR="00213BD4" w:rsidRPr="00213BD4" w:rsidRDefault="00213BD4" w:rsidP="00213BD4">
            <w:r w:rsidRPr="00213BD4">
              <w:t>Umsatz</w:t>
            </w:r>
          </w:p>
        </w:tc>
        <w:tc>
          <w:tcPr>
            <w:tcW w:w="933" w:type="dxa"/>
            <w:shd w:val="clear" w:color="auto" w:fill="auto"/>
          </w:tcPr>
          <w:p w:rsidR="00213BD4" w:rsidRPr="00213BD4" w:rsidRDefault="00213BD4" w:rsidP="00213BD4">
            <w:r w:rsidRPr="00213BD4">
              <w:t>Mio. €</w:t>
            </w:r>
          </w:p>
        </w:tc>
        <w:tc>
          <w:tcPr>
            <w:tcW w:w="2056" w:type="dxa"/>
            <w:shd w:val="clear" w:color="auto" w:fill="auto"/>
          </w:tcPr>
          <w:p w:rsidR="00213BD4" w:rsidRPr="00213BD4" w:rsidRDefault="00213BD4" w:rsidP="00213BD4">
            <w:pPr>
              <w:rPr>
                <w:b/>
              </w:rPr>
            </w:pPr>
            <w:r>
              <w:rPr>
                <w:b/>
              </w:rPr>
              <w:t>258,0</w:t>
            </w:r>
          </w:p>
        </w:tc>
        <w:tc>
          <w:tcPr>
            <w:tcW w:w="1985" w:type="dxa"/>
            <w:shd w:val="clear" w:color="auto" w:fill="auto"/>
          </w:tcPr>
          <w:p w:rsidR="00213BD4" w:rsidRPr="00213BD4" w:rsidRDefault="00213BD4" w:rsidP="00213BD4">
            <w:r>
              <w:t>307,0</w:t>
            </w:r>
          </w:p>
        </w:tc>
      </w:tr>
      <w:tr w:rsidR="00213BD4" w:rsidRPr="00213BD4" w:rsidTr="00537D57">
        <w:tc>
          <w:tcPr>
            <w:tcW w:w="2364" w:type="dxa"/>
            <w:shd w:val="clear" w:color="auto" w:fill="auto"/>
          </w:tcPr>
          <w:p w:rsidR="00213BD4" w:rsidRPr="00213BD4" w:rsidRDefault="00213BD4" w:rsidP="00213BD4">
            <w:r w:rsidRPr="00213BD4">
              <w:t>Auftragseingang</w:t>
            </w:r>
          </w:p>
        </w:tc>
        <w:tc>
          <w:tcPr>
            <w:tcW w:w="933" w:type="dxa"/>
            <w:shd w:val="clear" w:color="auto" w:fill="auto"/>
          </w:tcPr>
          <w:p w:rsidR="00213BD4" w:rsidRPr="00213BD4" w:rsidRDefault="00213BD4" w:rsidP="00213BD4">
            <w:r w:rsidRPr="00213BD4">
              <w:t>Mio. €</w:t>
            </w:r>
          </w:p>
        </w:tc>
        <w:tc>
          <w:tcPr>
            <w:tcW w:w="2056" w:type="dxa"/>
            <w:shd w:val="clear" w:color="auto" w:fill="auto"/>
          </w:tcPr>
          <w:p w:rsidR="00213BD4" w:rsidRPr="00213BD4" w:rsidRDefault="00213BD4" w:rsidP="00213BD4">
            <w:pPr>
              <w:rPr>
                <w:b/>
              </w:rPr>
            </w:pPr>
            <w:r>
              <w:rPr>
                <w:b/>
              </w:rPr>
              <w:t>319,8</w:t>
            </w:r>
          </w:p>
        </w:tc>
        <w:tc>
          <w:tcPr>
            <w:tcW w:w="1985" w:type="dxa"/>
            <w:shd w:val="clear" w:color="auto" w:fill="auto"/>
          </w:tcPr>
          <w:p w:rsidR="00213BD4" w:rsidRPr="00213BD4" w:rsidRDefault="00213BD4" w:rsidP="00213BD4">
            <w:r>
              <w:t>267,0</w:t>
            </w:r>
          </w:p>
        </w:tc>
      </w:tr>
      <w:tr w:rsidR="00213BD4" w:rsidRPr="00213BD4" w:rsidTr="00537D57">
        <w:tc>
          <w:tcPr>
            <w:tcW w:w="2364" w:type="dxa"/>
            <w:shd w:val="clear" w:color="auto" w:fill="auto"/>
          </w:tcPr>
          <w:p w:rsidR="00213BD4" w:rsidRPr="00213BD4" w:rsidRDefault="00213BD4" w:rsidP="00213BD4">
            <w:r w:rsidRPr="00213BD4">
              <w:t xml:space="preserve">Auftragsbestand </w:t>
            </w:r>
            <w:r>
              <w:rPr>
                <w:vertAlign w:val="superscript"/>
              </w:rPr>
              <w:t>1</w:t>
            </w:r>
          </w:p>
        </w:tc>
        <w:tc>
          <w:tcPr>
            <w:tcW w:w="933" w:type="dxa"/>
            <w:shd w:val="clear" w:color="auto" w:fill="auto"/>
          </w:tcPr>
          <w:p w:rsidR="00213BD4" w:rsidRPr="00213BD4" w:rsidRDefault="00213BD4" w:rsidP="00213BD4">
            <w:r w:rsidRPr="00213BD4">
              <w:t>Mio. €</w:t>
            </w:r>
          </w:p>
        </w:tc>
        <w:tc>
          <w:tcPr>
            <w:tcW w:w="2056" w:type="dxa"/>
            <w:shd w:val="clear" w:color="auto" w:fill="auto"/>
          </w:tcPr>
          <w:p w:rsidR="00213BD4" w:rsidRPr="00213BD4" w:rsidRDefault="00A74051" w:rsidP="00213BD4">
            <w:pPr>
              <w:rPr>
                <w:b/>
              </w:rPr>
            </w:pPr>
            <w:r>
              <w:rPr>
                <w:b/>
              </w:rPr>
              <w:t>1.100,6</w:t>
            </w:r>
          </w:p>
        </w:tc>
        <w:tc>
          <w:tcPr>
            <w:tcW w:w="1985" w:type="dxa"/>
            <w:shd w:val="clear" w:color="auto" w:fill="auto"/>
          </w:tcPr>
          <w:p w:rsidR="00213BD4" w:rsidRPr="00213BD4" w:rsidRDefault="00A74051" w:rsidP="00213BD4">
            <w:r>
              <w:t>1.125,9</w:t>
            </w:r>
          </w:p>
        </w:tc>
      </w:tr>
      <w:tr w:rsidR="00213BD4" w:rsidRPr="00213BD4" w:rsidTr="00537D57">
        <w:tc>
          <w:tcPr>
            <w:tcW w:w="2364" w:type="dxa"/>
            <w:shd w:val="clear" w:color="auto" w:fill="auto"/>
          </w:tcPr>
          <w:p w:rsidR="00213BD4" w:rsidRPr="00213BD4" w:rsidRDefault="00213BD4" w:rsidP="00213BD4">
            <w:proofErr w:type="spellStart"/>
            <w:r w:rsidRPr="00213BD4">
              <w:t>Ebitda</w:t>
            </w:r>
            <w:proofErr w:type="spellEnd"/>
          </w:p>
        </w:tc>
        <w:tc>
          <w:tcPr>
            <w:tcW w:w="933" w:type="dxa"/>
            <w:shd w:val="clear" w:color="auto" w:fill="auto"/>
          </w:tcPr>
          <w:p w:rsidR="00213BD4" w:rsidRPr="00213BD4" w:rsidRDefault="00213BD4" w:rsidP="00213BD4">
            <w:r w:rsidRPr="00213BD4">
              <w:t>Mio. €</w:t>
            </w:r>
          </w:p>
        </w:tc>
        <w:tc>
          <w:tcPr>
            <w:tcW w:w="2056" w:type="dxa"/>
            <w:shd w:val="clear" w:color="auto" w:fill="auto"/>
          </w:tcPr>
          <w:p w:rsidR="00213BD4" w:rsidRPr="00213BD4" w:rsidRDefault="00A74051" w:rsidP="00213BD4">
            <w:pPr>
              <w:rPr>
                <w:b/>
              </w:rPr>
            </w:pPr>
            <w:r>
              <w:rPr>
                <w:b/>
              </w:rPr>
              <w:t>22,3</w:t>
            </w:r>
          </w:p>
        </w:tc>
        <w:tc>
          <w:tcPr>
            <w:tcW w:w="1985" w:type="dxa"/>
            <w:shd w:val="clear" w:color="auto" w:fill="auto"/>
          </w:tcPr>
          <w:p w:rsidR="00213BD4" w:rsidRPr="00213BD4" w:rsidRDefault="00A74051" w:rsidP="00213BD4">
            <w:r>
              <w:t>32,9</w:t>
            </w:r>
          </w:p>
        </w:tc>
      </w:tr>
      <w:tr w:rsidR="00A74051" w:rsidRPr="00213BD4" w:rsidTr="00537D57">
        <w:tc>
          <w:tcPr>
            <w:tcW w:w="2364" w:type="dxa"/>
            <w:shd w:val="clear" w:color="auto" w:fill="auto"/>
          </w:tcPr>
          <w:p w:rsidR="00A74051" w:rsidRPr="00213BD4" w:rsidRDefault="00A74051" w:rsidP="00213BD4">
            <w:proofErr w:type="spellStart"/>
            <w:r>
              <w:t>Ebita</w:t>
            </w:r>
            <w:proofErr w:type="spellEnd"/>
          </w:p>
        </w:tc>
        <w:tc>
          <w:tcPr>
            <w:tcW w:w="933" w:type="dxa"/>
            <w:shd w:val="clear" w:color="auto" w:fill="auto"/>
          </w:tcPr>
          <w:p w:rsidR="00A74051" w:rsidRPr="00213BD4" w:rsidRDefault="00A74051" w:rsidP="00213BD4">
            <w:r>
              <w:t>Mio. €</w:t>
            </w:r>
          </w:p>
        </w:tc>
        <w:tc>
          <w:tcPr>
            <w:tcW w:w="2056" w:type="dxa"/>
            <w:shd w:val="clear" w:color="auto" w:fill="auto"/>
          </w:tcPr>
          <w:p w:rsidR="00A74051" w:rsidRPr="00213BD4" w:rsidRDefault="00A74051" w:rsidP="00213BD4">
            <w:pPr>
              <w:rPr>
                <w:b/>
              </w:rPr>
            </w:pPr>
            <w:r>
              <w:rPr>
                <w:b/>
              </w:rPr>
              <w:t>17,5</w:t>
            </w:r>
          </w:p>
        </w:tc>
        <w:tc>
          <w:tcPr>
            <w:tcW w:w="1985" w:type="dxa"/>
            <w:shd w:val="clear" w:color="auto" w:fill="auto"/>
          </w:tcPr>
          <w:p w:rsidR="00A74051" w:rsidRPr="00213BD4" w:rsidRDefault="00A74051" w:rsidP="00213BD4">
            <w:r>
              <w:t>26,4</w:t>
            </w:r>
          </w:p>
        </w:tc>
      </w:tr>
      <w:tr w:rsidR="00213BD4" w:rsidRPr="00213BD4" w:rsidTr="00537D57">
        <w:tc>
          <w:tcPr>
            <w:tcW w:w="2364" w:type="dxa"/>
            <w:shd w:val="clear" w:color="auto" w:fill="auto"/>
          </w:tcPr>
          <w:p w:rsidR="00213BD4" w:rsidRPr="00213BD4" w:rsidRDefault="00213BD4" w:rsidP="00213BD4">
            <w:proofErr w:type="spellStart"/>
            <w:r w:rsidRPr="00213BD4">
              <w:t>Ebit</w:t>
            </w:r>
            <w:proofErr w:type="spellEnd"/>
          </w:p>
        </w:tc>
        <w:tc>
          <w:tcPr>
            <w:tcW w:w="933" w:type="dxa"/>
            <w:shd w:val="clear" w:color="auto" w:fill="auto"/>
          </w:tcPr>
          <w:p w:rsidR="00213BD4" w:rsidRPr="00213BD4" w:rsidRDefault="00213BD4" w:rsidP="00213BD4">
            <w:r w:rsidRPr="00213BD4">
              <w:t>Mio. €</w:t>
            </w:r>
          </w:p>
        </w:tc>
        <w:tc>
          <w:tcPr>
            <w:tcW w:w="2056" w:type="dxa"/>
            <w:shd w:val="clear" w:color="auto" w:fill="auto"/>
          </w:tcPr>
          <w:p w:rsidR="00213BD4" w:rsidRPr="00213BD4" w:rsidRDefault="00A74051" w:rsidP="00213BD4">
            <w:pPr>
              <w:rPr>
                <w:b/>
              </w:rPr>
            </w:pPr>
            <w:r>
              <w:rPr>
                <w:b/>
              </w:rPr>
              <w:t>17,0</w:t>
            </w:r>
          </w:p>
        </w:tc>
        <w:tc>
          <w:tcPr>
            <w:tcW w:w="1985" w:type="dxa"/>
            <w:shd w:val="clear" w:color="auto" w:fill="auto"/>
          </w:tcPr>
          <w:p w:rsidR="00213BD4" w:rsidRPr="00213BD4" w:rsidRDefault="00A74051" w:rsidP="00213BD4">
            <w:r>
              <w:t>25,7</w:t>
            </w:r>
          </w:p>
        </w:tc>
      </w:tr>
      <w:tr w:rsidR="00213BD4" w:rsidRPr="00213BD4" w:rsidTr="00537D57">
        <w:tc>
          <w:tcPr>
            <w:tcW w:w="2364" w:type="dxa"/>
            <w:shd w:val="clear" w:color="auto" w:fill="auto"/>
          </w:tcPr>
          <w:p w:rsidR="00213BD4" w:rsidRPr="00213BD4" w:rsidRDefault="00213BD4" w:rsidP="00213BD4">
            <w:proofErr w:type="spellStart"/>
            <w:r w:rsidRPr="00213BD4">
              <w:t>Ebt</w:t>
            </w:r>
            <w:proofErr w:type="spellEnd"/>
          </w:p>
        </w:tc>
        <w:tc>
          <w:tcPr>
            <w:tcW w:w="933" w:type="dxa"/>
            <w:shd w:val="clear" w:color="auto" w:fill="auto"/>
          </w:tcPr>
          <w:p w:rsidR="00213BD4" w:rsidRPr="00213BD4" w:rsidRDefault="00213BD4" w:rsidP="00213BD4">
            <w:r w:rsidRPr="00213BD4">
              <w:t>Mio. €</w:t>
            </w:r>
          </w:p>
        </w:tc>
        <w:tc>
          <w:tcPr>
            <w:tcW w:w="2056" w:type="dxa"/>
            <w:shd w:val="clear" w:color="auto" w:fill="auto"/>
          </w:tcPr>
          <w:p w:rsidR="00213BD4" w:rsidRPr="00213BD4" w:rsidRDefault="00A74051" w:rsidP="00213BD4">
            <w:pPr>
              <w:rPr>
                <w:b/>
              </w:rPr>
            </w:pPr>
            <w:r>
              <w:rPr>
                <w:b/>
              </w:rPr>
              <w:t>16,3</w:t>
            </w:r>
          </w:p>
        </w:tc>
        <w:tc>
          <w:tcPr>
            <w:tcW w:w="1985" w:type="dxa"/>
            <w:shd w:val="clear" w:color="auto" w:fill="auto"/>
          </w:tcPr>
          <w:p w:rsidR="00213BD4" w:rsidRPr="00213BD4" w:rsidRDefault="00A74051" w:rsidP="00213BD4">
            <w:r>
              <w:t>23,5</w:t>
            </w:r>
          </w:p>
        </w:tc>
      </w:tr>
      <w:tr w:rsidR="00213BD4" w:rsidRPr="00213BD4" w:rsidTr="00537D57">
        <w:tc>
          <w:tcPr>
            <w:tcW w:w="2364" w:type="dxa"/>
            <w:shd w:val="clear" w:color="auto" w:fill="auto"/>
          </w:tcPr>
          <w:p w:rsidR="00213BD4" w:rsidRPr="00213BD4" w:rsidRDefault="00213BD4" w:rsidP="00213BD4">
            <w:r w:rsidRPr="00213BD4">
              <w:t>Konzernergebnis</w:t>
            </w:r>
          </w:p>
        </w:tc>
        <w:tc>
          <w:tcPr>
            <w:tcW w:w="933" w:type="dxa"/>
            <w:shd w:val="clear" w:color="auto" w:fill="auto"/>
          </w:tcPr>
          <w:p w:rsidR="00213BD4" w:rsidRPr="00213BD4" w:rsidRDefault="00213BD4" w:rsidP="00213BD4">
            <w:r w:rsidRPr="00213BD4">
              <w:t>Mio. €</w:t>
            </w:r>
          </w:p>
        </w:tc>
        <w:tc>
          <w:tcPr>
            <w:tcW w:w="2056" w:type="dxa"/>
            <w:shd w:val="clear" w:color="auto" w:fill="auto"/>
          </w:tcPr>
          <w:p w:rsidR="00213BD4" w:rsidRPr="00213BD4" w:rsidRDefault="00A74051" w:rsidP="00213BD4">
            <w:pPr>
              <w:rPr>
                <w:b/>
              </w:rPr>
            </w:pPr>
            <w:r>
              <w:rPr>
                <w:b/>
              </w:rPr>
              <w:t>11,3</w:t>
            </w:r>
          </w:p>
        </w:tc>
        <w:tc>
          <w:tcPr>
            <w:tcW w:w="1985" w:type="dxa"/>
            <w:shd w:val="clear" w:color="auto" w:fill="auto"/>
          </w:tcPr>
          <w:p w:rsidR="00213BD4" w:rsidRPr="00213BD4" w:rsidRDefault="00A74051" w:rsidP="00213BD4">
            <w:r>
              <w:t>10,7</w:t>
            </w:r>
          </w:p>
        </w:tc>
      </w:tr>
      <w:tr w:rsidR="00213BD4" w:rsidRPr="00213BD4" w:rsidTr="00537D57">
        <w:tc>
          <w:tcPr>
            <w:tcW w:w="2364" w:type="dxa"/>
            <w:shd w:val="clear" w:color="auto" w:fill="auto"/>
          </w:tcPr>
          <w:p w:rsidR="00213BD4" w:rsidRPr="00213BD4" w:rsidRDefault="00213BD4" w:rsidP="00213BD4">
            <w:proofErr w:type="spellStart"/>
            <w:r w:rsidRPr="00213BD4">
              <w:t>Ebitda</w:t>
            </w:r>
            <w:proofErr w:type="spellEnd"/>
            <w:r w:rsidRPr="00213BD4">
              <w:t>-Marge</w:t>
            </w:r>
          </w:p>
        </w:tc>
        <w:tc>
          <w:tcPr>
            <w:tcW w:w="933" w:type="dxa"/>
            <w:shd w:val="clear" w:color="auto" w:fill="auto"/>
          </w:tcPr>
          <w:p w:rsidR="00213BD4" w:rsidRPr="00213BD4" w:rsidRDefault="00213BD4" w:rsidP="00213BD4">
            <w:r w:rsidRPr="00213BD4">
              <w:t>%</w:t>
            </w:r>
          </w:p>
        </w:tc>
        <w:tc>
          <w:tcPr>
            <w:tcW w:w="2056" w:type="dxa"/>
            <w:shd w:val="clear" w:color="auto" w:fill="auto"/>
          </w:tcPr>
          <w:p w:rsidR="00213BD4" w:rsidRPr="00213BD4" w:rsidRDefault="00A74051" w:rsidP="00213BD4">
            <w:pPr>
              <w:rPr>
                <w:b/>
              </w:rPr>
            </w:pPr>
            <w:r>
              <w:rPr>
                <w:b/>
              </w:rPr>
              <w:t>8,6</w:t>
            </w:r>
          </w:p>
        </w:tc>
        <w:tc>
          <w:tcPr>
            <w:tcW w:w="1985" w:type="dxa"/>
            <w:shd w:val="clear" w:color="auto" w:fill="auto"/>
          </w:tcPr>
          <w:p w:rsidR="00213BD4" w:rsidRPr="00213BD4" w:rsidRDefault="00A74051" w:rsidP="00213BD4">
            <w:r>
              <w:t>10,7</w:t>
            </w:r>
          </w:p>
        </w:tc>
      </w:tr>
      <w:tr w:rsidR="00A74051" w:rsidRPr="00213BD4" w:rsidTr="00537D57">
        <w:tc>
          <w:tcPr>
            <w:tcW w:w="2364" w:type="dxa"/>
            <w:shd w:val="clear" w:color="auto" w:fill="auto"/>
          </w:tcPr>
          <w:p w:rsidR="00A74051" w:rsidRPr="00213BD4" w:rsidRDefault="00A74051" w:rsidP="00213BD4">
            <w:proofErr w:type="spellStart"/>
            <w:r>
              <w:t>Ebita</w:t>
            </w:r>
            <w:proofErr w:type="spellEnd"/>
            <w:r>
              <w:t>-Marge</w:t>
            </w:r>
          </w:p>
        </w:tc>
        <w:tc>
          <w:tcPr>
            <w:tcW w:w="933" w:type="dxa"/>
            <w:shd w:val="clear" w:color="auto" w:fill="auto"/>
          </w:tcPr>
          <w:p w:rsidR="00A74051" w:rsidRPr="00213BD4" w:rsidRDefault="00A74051" w:rsidP="00213BD4">
            <w:r>
              <w:t>%</w:t>
            </w:r>
          </w:p>
        </w:tc>
        <w:tc>
          <w:tcPr>
            <w:tcW w:w="2056" w:type="dxa"/>
            <w:shd w:val="clear" w:color="auto" w:fill="auto"/>
          </w:tcPr>
          <w:p w:rsidR="00A74051" w:rsidRPr="00213BD4" w:rsidRDefault="00A74051" w:rsidP="00213BD4">
            <w:pPr>
              <w:rPr>
                <w:b/>
              </w:rPr>
            </w:pPr>
            <w:r>
              <w:rPr>
                <w:b/>
              </w:rPr>
              <w:t>6,8</w:t>
            </w:r>
          </w:p>
        </w:tc>
        <w:tc>
          <w:tcPr>
            <w:tcW w:w="1985" w:type="dxa"/>
            <w:shd w:val="clear" w:color="auto" w:fill="auto"/>
          </w:tcPr>
          <w:p w:rsidR="00A74051" w:rsidRPr="00213BD4" w:rsidRDefault="00A74051" w:rsidP="00213BD4">
            <w:r>
              <w:t>8,6</w:t>
            </w:r>
          </w:p>
        </w:tc>
      </w:tr>
      <w:tr w:rsidR="00CC0824" w:rsidRPr="00213BD4" w:rsidTr="00537D57">
        <w:tc>
          <w:tcPr>
            <w:tcW w:w="2364" w:type="dxa"/>
            <w:shd w:val="clear" w:color="auto" w:fill="auto"/>
          </w:tcPr>
          <w:p w:rsidR="00CC0824" w:rsidRDefault="00CC0824" w:rsidP="00213BD4">
            <w:r>
              <w:t>Eigenkapital</w:t>
            </w:r>
            <w:r>
              <w:rPr>
                <w:vertAlign w:val="superscript"/>
              </w:rPr>
              <w:t>1</w:t>
            </w:r>
          </w:p>
        </w:tc>
        <w:tc>
          <w:tcPr>
            <w:tcW w:w="933" w:type="dxa"/>
            <w:shd w:val="clear" w:color="auto" w:fill="auto"/>
          </w:tcPr>
          <w:p w:rsidR="00CC0824" w:rsidRDefault="00CC0824" w:rsidP="00213BD4">
            <w:r>
              <w:t>Mio. €</w:t>
            </w:r>
          </w:p>
        </w:tc>
        <w:tc>
          <w:tcPr>
            <w:tcW w:w="2056" w:type="dxa"/>
            <w:shd w:val="clear" w:color="auto" w:fill="auto"/>
          </w:tcPr>
          <w:p w:rsidR="00CC0824" w:rsidRDefault="00CC0824" w:rsidP="00213BD4">
            <w:pPr>
              <w:rPr>
                <w:b/>
              </w:rPr>
            </w:pPr>
            <w:r>
              <w:rPr>
                <w:b/>
              </w:rPr>
              <w:t>286,3</w:t>
            </w:r>
          </w:p>
        </w:tc>
        <w:tc>
          <w:tcPr>
            <w:tcW w:w="1985" w:type="dxa"/>
            <w:shd w:val="clear" w:color="auto" w:fill="auto"/>
          </w:tcPr>
          <w:p w:rsidR="00CC0824" w:rsidRDefault="00CC0824" w:rsidP="00213BD4">
            <w:r>
              <w:t>270,9</w:t>
            </w:r>
          </w:p>
        </w:tc>
      </w:tr>
      <w:tr w:rsidR="00213BD4" w:rsidRPr="00213BD4" w:rsidTr="00537D57">
        <w:tc>
          <w:tcPr>
            <w:tcW w:w="2364" w:type="dxa"/>
            <w:shd w:val="clear" w:color="auto" w:fill="auto"/>
          </w:tcPr>
          <w:p w:rsidR="00213BD4" w:rsidRPr="00213BD4" w:rsidRDefault="00213BD4" w:rsidP="00213BD4">
            <w:r w:rsidRPr="00213BD4">
              <w:t>Eigenkapitalquote</w:t>
            </w:r>
            <w:r w:rsidR="00A74051">
              <w:rPr>
                <w:vertAlign w:val="superscript"/>
              </w:rPr>
              <w:t>1</w:t>
            </w:r>
          </w:p>
        </w:tc>
        <w:tc>
          <w:tcPr>
            <w:tcW w:w="933" w:type="dxa"/>
            <w:shd w:val="clear" w:color="auto" w:fill="auto"/>
          </w:tcPr>
          <w:p w:rsidR="00213BD4" w:rsidRPr="00213BD4" w:rsidRDefault="00213BD4" w:rsidP="00213BD4">
            <w:r w:rsidRPr="00213BD4">
              <w:t>%</w:t>
            </w:r>
          </w:p>
        </w:tc>
        <w:tc>
          <w:tcPr>
            <w:tcW w:w="2056" w:type="dxa"/>
            <w:shd w:val="clear" w:color="auto" w:fill="auto"/>
          </w:tcPr>
          <w:p w:rsidR="00213BD4" w:rsidRPr="00213BD4" w:rsidRDefault="00A74051" w:rsidP="00213BD4">
            <w:pPr>
              <w:rPr>
                <w:b/>
              </w:rPr>
            </w:pPr>
            <w:r>
              <w:rPr>
                <w:b/>
              </w:rPr>
              <w:t>27,7</w:t>
            </w:r>
          </w:p>
        </w:tc>
        <w:tc>
          <w:tcPr>
            <w:tcW w:w="1985" w:type="dxa"/>
            <w:shd w:val="clear" w:color="auto" w:fill="auto"/>
          </w:tcPr>
          <w:p w:rsidR="00213BD4" w:rsidRPr="00213BD4" w:rsidRDefault="00A74051" w:rsidP="00213BD4">
            <w:r>
              <w:t>27,8</w:t>
            </w:r>
          </w:p>
        </w:tc>
      </w:tr>
      <w:tr w:rsidR="009530CA" w:rsidRPr="00213BD4" w:rsidTr="00537D57">
        <w:tc>
          <w:tcPr>
            <w:tcW w:w="2364" w:type="dxa"/>
            <w:shd w:val="clear" w:color="auto" w:fill="auto"/>
          </w:tcPr>
          <w:p w:rsidR="009530CA" w:rsidRPr="00213BD4" w:rsidRDefault="009530CA" w:rsidP="00537D57">
            <w:r>
              <w:t>Nettofinanzstatus</w:t>
            </w:r>
            <w:r w:rsidR="00537D57">
              <w:rPr>
                <w:vertAlign w:val="superscript"/>
              </w:rPr>
              <w:t>1</w:t>
            </w:r>
          </w:p>
        </w:tc>
        <w:tc>
          <w:tcPr>
            <w:tcW w:w="933" w:type="dxa"/>
            <w:shd w:val="clear" w:color="auto" w:fill="auto"/>
          </w:tcPr>
          <w:p w:rsidR="009530CA" w:rsidRPr="00213BD4" w:rsidRDefault="009530CA" w:rsidP="00652DA3">
            <w:r>
              <w:t>Mio. €</w:t>
            </w:r>
          </w:p>
        </w:tc>
        <w:tc>
          <w:tcPr>
            <w:tcW w:w="2056" w:type="dxa"/>
            <w:shd w:val="clear" w:color="auto" w:fill="auto"/>
          </w:tcPr>
          <w:p w:rsidR="009530CA" w:rsidRPr="00537D57" w:rsidRDefault="009530CA" w:rsidP="00652DA3">
            <w:pPr>
              <w:rPr>
                <w:b/>
              </w:rPr>
            </w:pPr>
            <w:r w:rsidRPr="00537D57">
              <w:rPr>
                <w:b/>
              </w:rPr>
              <w:t>307,8</w:t>
            </w:r>
          </w:p>
        </w:tc>
        <w:tc>
          <w:tcPr>
            <w:tcW w:w="1985" w:type="dxa"/>
            <w:shd w:val="clear" w:color="auto" w:fill="auto"/>
          </w:tcPr>
          <w:p w:rsidR="009530CA" w:rsidRDefault="009530CA" w:rsidP="00213BD4">
            <w:r>
              <w:t>190,7</w:t>
            </w:r>
          </w:p>
        </w:tc>
      </w:tr>
      <w:tr w:rsidR="00213BD4" w:rsidRPr="00213BD4" w:rsidTr="00537D57">
        <w:tc>
          <w:tcPr>
            <w:tcW w:w="2364" w:type="dxa"/>
            <w:shd w:val="clear" w:color="auto" w:fill="auto"/>
          </w:tcPr>
          <w:p w:rsidR="00213BD4" w:rsidRPr="00213BD4" w:rsidRDefault="00213BD4" w:rsidP="00213BD4">
            <w:r w:rsidRPr="00213BD4">
              <w:t xml:space="preserve">Mitarbeiter </w:t>
            </w:r>
            <w:r w:rsidRPr="00213BD4">
              <w:rPr>
                <w:vertAlign w:val="superscript"/>
              </w:rPr>
              <w:t>2</w:t>
            </w:r>
          </w:p>
        </w:tc>
        <w:tc>
          <w:tcPr>
            <w:tcW w:w="933" w:type="dxa"/>
            <w:shd w:val="clear" w:color="auto" w:fill="auto"/>
          </w:tcPr>
          <w:p w:rsidR="00213BD4" w:rsidRPr="00213BD4" w:rsidRDefault="00213BD4" w:rsidP="00213BD4"/>
        </w:tc>
        <w:tc>
          <w:tcPr>
            <w:tcW w:w="2056" w:type="dxa"/>
            <w:shd w:val="clear" w:color="auto" w:fill="auto"/>
          </w:tcPr>
          <w:p w:rsidR="00213BD4" w:rsidRPr="00213BD4" w:rsidRDefault="00A74051" w:rsidP="00213BD4">
            <w:pPr>
              <w:rPr>
                <w:b/>
              </w:rPr>
            </w:pPr>
            <w:r>
              <w:rPr>
                <w:b/>
              </w:rPr>
              <w:t>5.494</w:t>
            </w:r>
          </w:p>
        </w:tc>
        <w:tc>
          <w:tcPr>
            <w:tcW w:w="1985" w:type="dxa"/>
            <w:shd w:val="clear" w:color="auto" w:fill="auto"/>
          </w:tcPr>
          <w:p w:rsidR="00213BD4" w:rsidRPr="00213BD4" w:rsidRDefault="00A74051" w:rsidP="00213BD4">
            <w:r>
              <w:t>5.532</w:t>
            </w:r>
          </w:p>
        </w:tc>
      </w:tr>
    </w:tbl>
    <w:p w:rsidR="00213BD4" w:rsidRPr="00213BD4" w:rsidRDefault="00213BD4" w:rsidP="00213BD4">
      <w:r w:rsidRPr="00213BD4">
        <w:rPr>
          <w:vertAlign w:val="superscript"/>
        </w:rPr>
        <w:t xml:space="preserve">1  </w:t>
      </w:r>
      <w:r w:rsidR="00A74051">
        <w:t>31.03</w:t>
      </w:r>
      <w:r w:rsidRPr="00213BD4">
        <w:t>.</w:t>
      </w:r>
      <w:r w:rsidR="008959C2">
        <w:t xml:space="preserve">, </w:t>
      </w:r>
      <w:r w:rsidRPr="00213BD4">
        <w:rPr>
          <w:vertAlign w:val="superscript"/>
        </w:rPr>
        <w:t xml:space="preserve">2  </w:t>
      </w:r>
      <w:r w:rsidRPr="00213BD4">
        <w:t>Inklusive Auszubildende</w:t>
      </w:r>
    </w:p>
    <w:p w:rsidR="00213BD4" w:rsidRPr="00213BD4" w:rsidRDefault="0016577D" w:rsidP="001627CE">
      <w:pPr>
        <w:spacing w:line="240" w:lineRule="auto"/>
      </w:pPr>
      <w:r>
        <w:br w:type="page"/>
      </w:r>
      <w:r>
        <w:lastRenderedPageBreak/>
        <w:t>Link</w:t>
      </w:r>
      <w:r w:rsidR="00213BD4" w:rsidRPr="00213BD4">
        <w:t xml:space="preserve"> für den vollständigen Zwischenbericht </w:t>
      </w:r>
    </w:p>
    <w:p w:rsidR="00D51D3C" w:rsidRDefault="00A00E22" w:rsidP="00D51D3C">
      <w:hyperlink r:id="rId11" w:history="1">
        <w:r w:rsidR="00D51D3C">
          <w:rPr>
            <w:rStyle w:val="Hyperlink"/>
          </w:rPr>
          <w:t>http://ir2.flife.de/data/schuler_ag/igb_html/index.php?bericht_id=1000011&amp;lang=DEU</w:t>
        </w:r>
      </w:hyperlink>
    </w:p>
    <w:p w:rsidR="00D51D3C" w:rsidRDefault="00D51D3C" w:rsidP="007E1606"/>
    <w:p w:rsidR="007E1606" w:rsidRDefault="007E1606" w:rsidP="000E228F">
      <w:pPr>
        <w:pStyle w:val="berschrift3"/>
      </w:pPr>
      <w:r>
        <w:t>Bildunterschriften</w:t>
      </w:r>
    </w:p>
    <w:p w:rsidR="00C82B81" w:rsidRDefault="007E1606" w:rsidP="007E1606">
      <w:r>
        <w:t xml:space="preserve">Bild1.jpg: </w:t>
      </w:r>
      <w:r w:rsidR="00A328B1">
        <w:t>Schuler feiert 2014 sein 175. Jubiläum.</w:t>
      </w:r>
    </w:p>
    <w:p w:rsidR="009B2577" w:rsidRDefault="007E1606" w:rsidP="007E1606">
      <w:r>
        <w:t xml:space="preserve">Bild2.jpg: </w:t>
      </w:r>
      <w:r w:rsidR="007D5449" w:rsidRPr="007D5449">
        <w:t>Innovationen aus jüngerer Zeit wie die ServoDirekt-Technologie unterstreichen die Spitzenposition von Schuler in der Umformtechnik.</w:t>
      </w:r>
    </w:p>
    <w:p w:rsidR="005833D5" w:rsidRPr="005833D5" w:rsidRDefault="005833D5" w:rsidP="005833D5">
      <w:pPr>
        <w:rPr>
          <w:i/>
        </w:rPr>
      </w:pPr>
      <w:r w:rsidRPr="005833D5">
        <w:rPr>
          <w:i/>
        </w:rPr>
        <w:t>Als Bildquelle bitte Schuler angeben.</w:t>
      </w:r>
    </w:p>
    <w:p w:rsidR="005833D5" w:rsidRPr="00AF64B9" w:rsidRDefault="005833D5" w:rsidP="008E1F8F">
      <w:pPr>
        <w:ind w:right="-15"/>
        <w:outlineLvl w:val="0"/>
        <w:rPr>
          <w:rFonts w:cs="Arial"/>
        </w:rPr>
      </w:pPr>
    </w:p>
    <w:p w:rsidR="005833D5" w:rsidRPr="00AF64B9" w:rsidRDefault="005833D5" w:rsidP="008E1F8F">
      <w:pPr>
        <w:pBdr>
          <w:top w:val="single" w:sz="4" w:space="1" w:color="auto"/>
        </w:pBdr>
        <w:spacing w:line="240" w:lineRule="auto"/>
        <w:jc w:val="both"/>
      </w:pPr>
    </w:p>
    <w:p w:rsidR="005833D5" w:rsidRPr="00AF64B9" w:rsidRDefault="005833D5" w:rsidP="008E1F8F">
      <w:pPr>
        <w:pBdr>
          <w:top w:val="single" w:sz="4" w:space="1" w:color="auto"/>
        </w:pBdr>
        <w:spacing w:line="240" w:lineRule="auto"/>
        <w:jc w:val="both"/>
      </w:pPr>
    </w:p>
    <w:p w:rsidR="005833D5" w:rsidRDefault="005833D5" w:rsidP="008E1F8F">
      <w:pPr>
        <w:spacing w:line="240" w:lineRule="auto"/>
        <w:ind w:right="-15"/>
        <w:jc w:val="both"/>
        <w:outlineLvl w:val="0"/>
        <w:rPr>
          <w:b/>
          <w:i/>
        </w:rPr>
      </w:pPr>
      <w:r w:rsidRPr="00AF64B9">
        <w:rPr>
          <w:b/>
          <w:i/>
        </w:rPr>
        <w:t xml:space="preserve">Über den Schuler-Konzern – </w:t>
      </w:r>
      <w:hyperlink r:id="rId12" w:history="1">
        <w:r w:rsidR="00671E3C" w:rsidRPr="00D808EA">
          <w:rPr>
            <w:rStyle w:val="Hyperlink"/>
            <w:b/>
            <w:i/>
          </w:rPr>
          <w:t>www.schulergroup.com</w:t>
        </w:r>
      </w:hyperlink>
    </w:p>
    <w:p w:rsidR="005833D5" w:rsidRPr="00C82B81" w:rsidRDefault="005833D5" w:rsidP="003F0681">
      <w:pPr>
        <w:spacing w:line="240" w:lineRule="auto"/>
        <w:ind w:right="-15"/>
        <w:jc w:val="both"/>
        <w:outlineLvl w:val="0"/>
        <w:rPr>
          <w:i/>
        </w:rPr>
      </w:pPr>
      <w:r w:rsidRPr="00AF64B9">
        <w:rPr>
          <w:i/>
        </w:rPr>
        <w:t>Schuler bietet als Technologie- und Weltmarktführer in der Umformtechnik Pressen, Automationslösungen, Werkzeuge, Prozesstechnologie und Service für die gesamte metallverarbeitende Industrie und den automobilen Leichtbau. Zu den Kunden gehören Automobilhersteller und</w:t>
      </w:r>
      <w:r w:rsidR="00403EFF">
        <w:rPr>
          <w:i/>
        </w:rPr>
        <w:br/>
        <w:t>-</w:t>
      </w:r>
      <w:r w:rsidRPr="00AF64B9">
        <w:rPr>
          <w:i/>
        </w:rPr>
        <w:t xml:space="preserve">zulieferer sowie Unternehmen aus der Schmiede-, Hausgeräte-, Verpackungs-, Energie- und Elektroindustrie. Schuler ist führend in der Münztechnik und realisiert Systemlösungen in der Luftfahrt-, Raumfahrt-, Eisenbahn- und Großrohrindustrie. </w:t>
      </w:r>
      <w:r w:rsidR="00C96DAD">
        <w:rPr>
          <w:i/>
        </w:rPr>
        <w:t xml:space="preserve">Der Konzern geht auf eine 1839 von Louis Schuler gegründete Schlosserei zurück und feiert 2014 sein 175-jähriges Bestehen. </w:t>
      </w:r>
      <w:r w:rsidRPr="00AF64B9">
        <w:rPr>
          <w:i/>
        </w:rPr>
        <w:t>Im Geschäftsjahr 2012/13 (30.09.) erzielte Schuler einen Umsatz von 1.185,9 Millionen Euro.</w:t>
      </w:r>
      <w:r w:rsidRPr="00AF64B9">
        <w:t xml:space="preserve"> </w:t>
      </w:r>
      <w:r w:rsidRPr="00AF64B9">
        <w:rPr>
          <w:i/>
        </w:rPr>
        <w:t>Weltweit sind rund 5.</w:t>
      </w:r>
      <w:r w:rsidR="004B3300">
        <w:rPr>
          <w:i/>
        </w:rPr>
        <w:t>5</w:t>
      </w:r>
      <w:r w:rsidRPr="00AF64B9">
        <w:rPr>
          <w:i/>
        </w:rPr>
        <w:t>00 Mitarbeiter im Einsatz. Der Schuler-Konzern ist in 40 Ländern präsent und gehört mehrheitlich zur österreichischen ANDRITZ-Gruppe.</w:t>
      </w:r>
    </w:p>
    <w:sectPr w:rsidR="005833D5" w:rsidRPr="00C82B81" w:rsidSect="007E1606">
      <w:headerReference w:type="default" r:id="rId13"/>
      <w:footerReference w:type="default" r:id="rId14"/>
      <w:headerReference w:type="first" r:id="rId15"/>
      <w:footerReference w:type="first" r:id="rId16"/>
      <w:pgSz w:w="11907" w:h="16840" w:code="9"/>
      <w:pgMar w:top="2977" w:right="3969" w:bottom="1418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1DF9" w:rsidRDefault="00211DF9" w:rsidP="007E132D">
      <w:r>
        <w:separator/>
      </w:r>
    </w:p>
    <w:p w:rsidR="00211DF9" w:rsidRDefault="00211DF9" w:rsidP="007E132D"/>
  </w:endnote>
  <w:endnote w:type="continuationSeparator" w:id="0">
    <w:p w:rsidR="00211DF9" w:rsidRDefault="00211DF9" w:rsidP="007E132D">
      <w:r>
        <w:continuationSeparator/>
      </w:r>
    </w:p>
    <w:p w:rsidR="00211DF9" w:rsidRDefault="00211DF9" w:rsidP="007E13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uler DIN Offc Pro">
    <w:panose1 w:val="020B0504020101020102"/>
    <w:charset w:val="00"/>
    <w:family w:val="swiss"/>
    <w:pitch w:val="variable"/>
    <w:sig w:usb0="A00002B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8223" w:tblpY="15514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409"/>
    </w:tblGrid>
    <w:tr w:rsidR="00377DED" w:rsidRPr="007E1606" w:rsidTr="007E1606">
      <w:trPr>
        <w:trHeight w:hRule="exact" w:val="227"/>
      </w:trPr>
      <w:tc>
        <w:tcPr>
          <w:tcW w:w="2409" w:type="dxa"/>
          <w:shd w:val="clear" w:color="auto" w:fill="auto"/>
        </w:tcPr>
        <w:p w:rsidR="00377DED" w:rsidRPr="007E1606" w:rsidRDefault="00377DED" w:rsidP="00086F40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IF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A00E22">
            <w:rPr>
              <w:rFonts w:eastAsia="Calibri"/>
              <w:noProof/>
            </w:rPr>
            <w:instrText>3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 xml:space="preserve"> &gt; 1 "Seite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PAGE </w:instrText>
          </w:r>
          <w:r w:rsidRPr="007E1606">
            <w:rPr>
              <w:rFonts w:eastAsia="Calibri"/>
            </w:rPr>
            <w:fldChar w:fldCharType="separate"/>
          </w:r>
          <w:r w:rsidR="00A00E22">
            <w:rPr>
              <w:rFonts w:eastAsia="Calibri"/>
              <w:noProof/>
            </w:rPr>
            <w:instrText>2</w:instrText>
          </w:r>
          <w:r w:rsidRPr="007E1606">
            <w:rPr>
              <w:rFonts w:eastAsia="Calibri"/>
            </w:rPr>
            <w:fldChar w:fldCharType="end"/>
          </w:r>
          <w:r w:rsidRPr="007E1606">
            <w:rPr>
              <w:rFonts w:eastAsia="Calibri"/>
            </w:rPr>
            <w:instrText xml:space="preserve"> von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A00E22">
            <w:rPr>
              <w:rFonts w:eastAsia="Calibri"/>
              <w:noProof/>
            </w:rPr>
            <w:instrText>3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>" " "</w:instrText>
          </w:r>
          <w:r w:rsidRPr="007E1606">
            <w:rPr>
              <w:rFonts w:eastAsia="Calibri"/>
            </w:rPr>
            <w:fldChar w:fldCharType="separate"/>
          </w:r>
          <w:r w:rsidR="00A00E22" w:rsidRPr="007E1606">
            <w:rPr>
              <w:rFonts w:eastAsia="Calibri"/>
              <w:noProof/>
            </w:rPr>
            <w:t xml:space="preserve">Seite </w:t>
          </w:r>
          <w:r w:rsidR="00A00E22">
            <w:rPr>
              <w:rFonts w:eastAsia="Calibri"/>
              <w:noProof/>
            </w:rPr>
            <w:t>2</w:t>
          </w:r>
          <w:r w:rsidR="00A00E22" w:rsidRPr="007E1606">
            <w:rPr>
              <w:rFonts w:eastAsia="Calibri"/>
              <w:noProof/>
            </w:rPr>
            <w:t xml:space="preserve"> von </w:t>
          </w:r>
          <w:r w:rsidR="00A00E22">
            <w:rPr>
              <w:rFonts w:eastAsia="Calibri"/>
              <w:noProof/>
            </w:rPr>
            <w:t>3</w:t>
          </w:r>
          <w:r w:rsidRPr="007E1606">
            <w:rPr>
              <w:rFonts w:eastAsia="Calibri"/>
            </w:rPr>
            <w:fldChar w:fldCharType="end"/>
          </w:r>
        </w:p>
      </w:tc>
    </w:tr>
  </w:tbl>
  <w:p w:rsidR="00E3363B" w:rsidRPr="00D16703" w:rsidRDefault="00E3363B" w:rsidP="007E132D">
    <w:pPr>
      <w:pStyle w:val="Fuzeile"/>
      <w:rPr>
        <w:lang w:val="it-IT"/>
      </w:rPr>
    </w:pPr>
  </w:p>
  <w:p w:rsidR="00E90330" w:rsidRDefault="00E90330" w:rsidP="007E132D"/>
  <w:p w:rsidR="00E90330" w:rsidRDefault="00E90330" w:rsidP="007E132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E3363B" w:rsidP="007E132D">
    <w:pPr>
      <w:pStyle w:val="Fuzeile"/>
      <w:rPr>
        <w:lang w:val="pt-BR"/>
      </w:rPr>
    </w:pPr>
    <w:r>
      <w:rPr>
        <w:lang w:val="pt-BR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1DF9" w:rsidRDefault="00211DF9" w:rsidP="007E132D">
      <w:r>
        <w:separator/>
      </w:r>
    </w:p>
    <w:p w:rsidR="00211DF9" w:rsidRDefault="00211DF9" w:rsidP="007E132D"/>
  </w:footnote>
  <w:footnote w:type="continuationSeparator" w:id="0">
    <w:p w:rsidR="00211DF9" w:rsidRDefault="00211DF9" w:rsidP="007E132D">
      <w:r>
        <w:continuationSeparator/>
      </w:r>
    </w:p>
    <w:p w:rsidR="00211DF9" w:rsidRDefault="00211DF9" w:rsidP="007E132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Pr="00033BD2" w:rsidRDefault="001E0C3C" w:rsidP="00033BD2">
    <w:pPr>
      <w:pStyle w:val="Kopfzeile"/>
      <w:tabs>
        <w:tab w:val="clear" w:pos="4819"/>
        <w:tab w:val="clear" w:pos="9071"/>
      </w:tabs>
    </w:pPr>
    <w:r>
      <w:rPr>
        <w:noProof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5222240</wp:posOffset>
          </wp:positionH>
          <wp:positionV relativeFrom="page">
            <wp:posOffset>662305</wp:posOffset>
          </wp:positionV>
          <wp:extent cx="1529715" cy="367030"/>
          <wp:effectExtent l="0" t="0" r="0" b="0"/>
          <wp:wrapNone/>
          <wp:docPr id="6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9715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1" layoutInCell="0" allowOverlap="1">
          <wp:simplePos x="0" y="0"/>
          <wp:positionH relativeFrom="page">
            <wp:posOffset>811530</wp:posOffset>
          </wp:positionH>
          <wp:positionV relativeFrom="page">
            <wp:posOffset>798830</wp:posOffset>
          </wp:positionV>
          <wp:extent cx="1382395" cy="93345"/>
          <wp:effectExtent l="0" t="0" r="8255" b="1905"/>
          <wp:wrapNone/>
          <wp:docPr id="5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2395" cy="93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1E0C3C" w:rsidP="007E132D">
    <w:r>
      <w:rPr>
        <w:noProof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1419860</wp:posOffset>
          </wp:positionH>
          <wp:positionV relativeFrom="paragraph">
            <wp:posOffset>100330</wp:posOffset>
          </wp:positionV>
          <wp:extent cx="1645920" cy="277495"/>
          <wp:effectExtent l="0" t="0" r="0" b="8255"/>
          <wp:wrapTight wrapText="bothSides">
            <wp:wrapPolygon edited="0">
              <wp:start x="0" y="0"/>
              <wp:lineTo x="0" y="20760"/>
              <wp:lineTo x="21250" y="20760"/>
              <wp:lineTo x="21250" y="0"/>
              <wp:lineTo x="0" y="0"/>
            </wp:wrapPolygon>
          </wp:wrapTight>
          <wp:docPr id="2" name="Bild 25" descr="schul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5" descr="schul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3791" b="42715"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277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3363B">
      <w:tab/>
    </w:r>
  </w:p>
  <w:p w:rsidR="00E3363B" w:rsidRDefault="00E3363B" w:rsidP="007E132D"/>
  <w:p w:rsidR="00E3363B" w:rsidRPr="00A86ACD" w:rsidRDefault="001E0C3C" w:rsidP="007E132D">
    <w:pPr>
      <w:pStyle w:val="RohtextHandbuch"/>
      <w:rPr>
        <w:sz w:val="32"/>
      </w:rPr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3593465</wp:posOffset>
          </wp:positionH>
          <wp:positionV relativeFrom="paragraph">
            <wp:posOffset>100330</wp:posOffset>
          </wp:positionV>
          <wp:extent cx="2160270" cy="139700"/>
          <wp:effectExtent l="0" t="0" r="0" b="0"/>
          <wp:wrapTight wrapText="bothSides">
            <wp:wrapPolygon edited="0">
              <wp:start x="0" y="0"/>
              <wp:lineTo x="0" y="17673"/>
              <wp:lineTo x="21333" y="17673"/>
              <wp:lineTo x="21333" y="0"/>
              <wp:lineTo x="0" y="0"/>
            </wp:wrapPolygon>
          </wp:wrapTight>
          <wp:docPr id="1" name="Bild 28" descr="forming_the_future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8" descr="forming_the_future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0270" cy="139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3363B" w:rsidRDefault="00E3363B" w:rsidP="007E132D"/>
  <w:p w:rsidR="00E3363B" w:rsidRDefault="00E3363B" w:rsidP="007E132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C530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1EB04DA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19C312DB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25E029E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2A64085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415A5C6E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67122FC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46EB6C5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5AAF2878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6172209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6DA46EB9"/>
    <w:multiLevelType w:val="hybridMultilevel"/>
    <w:tmpl w:val="1116F602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D964C2"/>
    <w:multiLevelType w:val="hybridMultilevel"/>
    <w:tmpl w:val="04440D58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7"/>
  </w:num>
  <w:num w:numId="10">
    <w:abstractNumId w:val="8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FED"/>
    <w:rsid w:val="00003CBE"/>
    <w:rsid w:val="00004C7F"/>
    <w:rsid w:val="000160CD"/>
    <w:rsid w:val="00031750"/>
    <w:rsid w:val="00033BD2"/>
    <w:rsid w:val="000716BA"/>
    <w:rsid w:val="00086F40"/>
    <w:rsid w:val="00095FC0"/>
    <w:rsid w:val="000A52A8"/>
    <w:rsid w:val="000B704A"/>
    <w:rsid w:val="000C0CAD"/>
    <w:rsid w:val="000C4599"/>
    <w:rsid w:val="000E228F"/>
    <w:rsid w:val="000F2F77"/>
    <w:rsid w:val="00102187"/>
    <w:rsid w:val="00130A5F"/>
    <w:rsid w:val="00136218"/>
    <w:rsid w:val="00136E90"/>
    <w:rsid w:val="00152C69"/>
    <w:rsid w:val="001627CE"/>
    <w:rsid w:val="001631E1"/>
    <w:rsid w:val="0016339C"/>
    <w:rsid w:val="0016495A"/>
    <w:rsid w:val="0016577D"/>
    <w:rsid w:val="00173722"/>
    <w:rsid w:val="0017697C"/>
    <w:rsid w:val="001C1FA2"/>
    <w:rsid w:val="001C3EE2"/>
    <w:rsid w:val="001C7714"/>
    <w:rsid w:val="001E0C3C"/>
    <w:rsid w:val="001E14E2"/>
    <w:rsid w:val="001F6280"/>
    <w:rsid w:val="002077B7"/>
    <w:rsid w:val="00211DF9"/>
    <w:rsid w:val="00212513"/>
    <w:rsid w:val="00213BD4"/>
    <w:rsid w:val="00215C8A"/>
    <w:rsid w:val="002315E0"/>
    <w:rsid w:val="002712C2"/>
    <w:rsid w:val="0027388F"/>
    <w:rsid w:val="0028304C"/>
    <w:rsid w:val="002A1D04"/>
    <w:rsid w:val="002A3A54"/>
    <w:rsid w:val="002A42B6"/>
    <w:rsid w:val="002A4B0E"/>
    <w:rsid w:val="002B391B"/>
    <w:rsid w:val="002B41E8"/>
    <w:rsid w:val="002F714D"/>
    <w:rsid w:val="00320C80"/>
    <w:rsid w:val="003230D4"/>
    <w:rsid w:val="00323555"/>
    <w:rsid w:val="00363740"/>
    <w:rsid w:val="00365A9E"/>
    <w:rsid w:val="003728F6"/>
    <w:rsid w:val="00373C01"/>
    <w:rsid w:val="00377DED"/>
    <w:rsid w:val="003C2FCC"/>
    <w:rsid w:val="003C626A"/>
    <w:rsid w:val="003D76C7"/>
    <w:rsid w:val="003E30C0"/>
    <w:rsid w:val="003F0681"/>
    <w:rsid w:val="003F6888"/>
    <w:rsid w:val="00403EFF"/>
    <w:rsid w:val="004355F7"/>
    <w:rsid w:val="00476782"/>
    <w:rsid w:val="00476D9C"/>
    <w:rsid w:val="00485C6B"/>
    <w:rsid w:val="004B3300"/>
    <w:rsid w:val="004C1F83"/>
    <w:rsid w:val="004C3354"/>
    <w:rsid w:val="004C4B30"/>
    <w:rsid w:val="004C697D"/>
    <w:rsid w:val="004D76DD"/>
    <w:rsid w:val="00533491"/>
    <w:rsid w:val="00537D57"/>
    <w:rsid w:val="00552A9D"/>
    <w:rsid w:val="005547DF"/>
    <w:rsid w:val="0056768B"/>
    <w:rsid w:val="00575FA0"/>
    <w:rsid w:val="005833D5"/>
    <w:rsid w:val="00595D96"/>
    <w:rsid w:val="005C0BBB"/>
    <w:rsid w:val="005C6AE3"/>
    <w:rsid w:val="005F6D99"/>
    <w:rsid w:val="00601238"/>
    <w:rsid w:val="0060142A"/>
    <w:rsid w:val="00633679"/>
    <w:rsid w:val="00652DA3"/>
    <w:rsid w:val="0065451D"/>
    <w:rsid w:val="00654B60"/>
    <w:rsid w:val="00660D47"/>
    <w:rsid w:val="00671E3C"/>
    <w:rsid w:val="00674EF3"/>
    <w:rsid w:val="006813B8"/>
    <w:rsid w:val="0068251B"/>
    <w:rsid w:val="006848FF"/>
    <w:rsid w:val="00687868"/>
    <w:rsid w:val="006A31D9"/>
    <w:rsid w:val="006A659E"/>
    <w:rsid w:val="006A7F52"/>
    <w:rsid w:val="006B4DC2"/>
    <w:rsid w:val="006C164F"/>
    <w:rsid w:val="006D7242"/>
    <w:rsid w:val="00714E5C"/>
    <w:rsid w:val="0072042B"/>
    <w:rsid w:val="007325E7"/>
    <w:rsid w:val="00733AAF"/>
    <w:rsid w:val="0076398D"/>
    <w:rsid w:val="007826E4"/>
    <w:rsid w:val="00784E5A"/>
    <w:rsid w:val="00794AEE"/>
    <w:rsid w:val="007B0BF4"/>
    <w:rsid w:val="007C0827"/>
    <w:rsid w:val="007C16F5"/>
    <w:rsid w:val="007D5449"/>
    <w:rsid w:val="007E132D"/>
    <w:rsid w:val="007E1606"/>
    <w:rsid w:val="007F4512"/>
    <w:rsid w:val="00821B54"/>
    <w:rsid w:val="00821E5D"/>
    <w:rsid w:val="00822597"/>
    <w:rsid w:val="008258E8"/>
    <w:rsid w:val="008334D5"/>
    <w:rsid w:val="00865B83"/>
    <w:rsid w:val="008718D2"/>
    <w:rsid w:val="0087295F"/>
    <w:rsid w:val="00876E6E"/>
    <w:rsid w:val="00877DC8"/>
    <w:rsid w:val="00894865"/>
    <w:rsid w:val="008959C2"/>
    <w:rsid w:val="008C6578"/>
    <w:rsid w:val="008D1374"/>
    <w:rsid w:val="008D67FA"/>
    <w:rsid w:val="008E1F8F"/>
    <w:rsid w:val="008F4FED"/>
    <w:rsid w:val="008F5E25"/>
    <w:rsid w:val="009060ED"/>
    <w:rsid w:val="00920948"/>
    <w:rsid w:val="00926076"/>
    <w:rsid w:val="00941203"/>
    <w:rsid w:val="009530CA"/>
    <w:rsid w:val="00961469"/>
    <w:rsid w:val="00975A13"/>
    <w:rsid w:val="009A680E"/>
    <w:rsid w:val="009B2577"/>
    <w:rsid w:val="009B3EB7"/>
    <w:rsid w:val="009F65F3"/>
    <w:rsid w:val="00A00E22"/>
    <w:rsid w:val="00A0214C"/>
    <w:rsid w:val="00A31D72"/>
    <w:rsid w:val="00A328B1"/>
    <w:rsid w:val="00A32B85"/>
    <w:rsid w:val="00A378A9"/>
    <w:rsid w:val="00A46561"/>
    <w:rsid w:val="00A500A4"/>
    <w:rsid w:val="00A74051"/>
    <w:rsid w:val="00A86ACD"/>
    <w:rsid w:val="00A9156A"/>
    <w:rsid w:val="00A91986"/>
    <w:rsid w:val="00A93519"/>
    <w:rsid w:val="00AC55D1"/>
    <w:rsid w:val="00AC6510"/>
    <w:rsid w:val="00AE3AFF"/>
    <w:rsid w:val="00AF2D43"/>
    <w:rsid w:val="00AF64B9"/>
    <w:rsid w:val="00B01B58"/>
    <w:rsid w:val="00B06BC4"/>
    <w:rsid w:val="00B206B1"/>
    <w:rsid w:val="00B23715"/>
    <w:rsid w:val="00B307A6"/>
    <w:rsid w:val="00B47659"/>
    <w:rsid w:val="00B55136"/>
    <w:rsid w:val="00B762C9"/>
    <w:rsid w:val="00BE00EC"/>
    <w:rsid w:val="00C37957"/>
    <w:rsid w:val="00C72CD3"/>
    <w:rsid w:val="00C82B81"/>
    <w:rsid w:val="00C96DAD"/>
    <w:rsid w:val="00CB2B5C"/>
    <w:rsid w:val="00CC0824"/>
    <w:rsid w:val="00CC7CCA"/>
    <w:rsid w:val="00CD3AA7"/>
    <w:rsid w:val="00D14566"/>
    <w:rsid w:val="00D15E35"/>
    <w:rsid w:val="00D16703"/>
    <w:rsid w:val="00D36969"/>
    <w:rsid w:val="00D51D3C"/>
    <w:rsid w:val="00D5679F"/>
    <w:rsid w:val="00D57009"/>
    <w:rsid w:val="00D76894"/>
    <w:rsid w:val="00D82AE7"/>
    <w:rsid w:val="00D836C1"/>
    <w:rsid w:val="00DB3F3F"/>
    <w:rsid w:val="00DB73FC"/>
    <w:rsid w:val="00DC5C7D"/>
    <w:rsid w:val="00DD16C5"/>
    <w:rsid w:val="00DE35EB"/>
    <w:rsid w:val="00DE6930"/>
    <w:rsid w:val="00E207BB"/>
    <w:rsid w:val="00E2304D"/>
    <w:rsid w:val="00E26828"/>
    <w:rsid w:val="00E30CB4"/>
    <w:rsid w:val="00E3363B"/>
    <w:rsid w:val="00E36721"/>
    <w:rsid w:val="00E5769E"/>
    <w:rsid w:val="00E6320B"/>
    <w:rsid w:val="00E85A97"/>
    <w:rsid w:val="00E90330"/>
    <w:rsid w:val="00E94A8B"/>
    <w:rsid w:val="00E94CAA"/>
    <w:rsid w:val="00EA0877"/>
    <w:rsid w:val="00EA7DC3"/>
    <w:rsid w:val="00EB1657"/>
    <w:rsid w:val="00EB1C2E"/>
    <w:rsid w:val="00EF50A1"/>
    <w:rsid w:val="00F23AAD"/>
    <w:rsid w:val="00F44765"/>
    <w:rsid w:val="00F5073A"/>
    <w:rsid w:val="00F654EB"/>
    <w:rsid w:val="00F7676C"/>
    <w:rsid w:val="00FD1AC7"/>
    <w:rsid w:val="00FE2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Kommentarzeichen">
    <w:name w:val="annotation reference"/>
    <w:basedOn w:val="Absatz-Standardschriftart"/>
    <w:rsid w:val="001C7714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1C771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1C7714"/>
    <w:rPr>
      <w:rFonts w:ascii="Calibri" w:hAnsi="Calibri"/>
    </w:rPr>
  </w:style>
  <w:style w:type="paragraph" w:styleId="Kommentarthema">
    <w:name w:val="annotation subject"/>
    <w:basedOn w:val="Kommentartext"/>
    <w:next w:val="Kommentartext"/>
    <w:link w:val="KommentarthemaZchn"/>
    <w:rsid w:val="001C771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1C7714"/>
    <w:rPr>
      <w:rFonts w:ascii="Calibri" w:hAnsi="Calibr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Kommentarzeichen">
    <w:name w:val="annotation reference"/>
    <w:basedOn w:val="Absatz-Standardschriftart"/>
    <w:rsid w:val="001C7714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1C771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1C7714"/>
    <w:rPr>
      <w:rFonts w:ascii="Calibri" w:hAnsi="Calibri"/>
    </w:rPr>
  </w:style>
  <w:style w:type="paragraph" w:styleId="Kommentarthema">
    <w:name w:val="annotation subject"/>
    <w:basedOn w:val="Kommentartext"/>
    <w:next w:val="Kommentartext"/>
    <w:link w:val="KommentarthemaZchn"/>
    <w:rsid w:val="001C771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1C7714"/>
    <w:rPr>
      <w:rFonts w:ascii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schulergroup.co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ir2.flife.de/data/schuler_ag/igb_html/index.php?bericht_id=1000011&amp;lang=DEU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://www.schulergroup.com/pr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Ingo.Schnaitmann@schulergroup.com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DATEN\GP\CC\Vorlagen\PM%20Vorlagen\Schuler%20PM_Vorlage_Deutsch_neu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E4601E-3C4F-4099-A6BF-3779425D2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Schuler PM_Vorlage_Deutsch_neu.dotx</Template>
  <TotalTime>0</TotalTime>
  <Pages>3</Pages>
  <Words>509</Words>
  <Characters>3747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Das „Schuler Handbuch“</vt:lpstr>
    </vt:vector>
  </TitlesOfParts>
  <Company>Schuler</Company>
  <LinksUpToDate>false</LinksUpToDate>
  <CharactersWithSpaces>4248</CharactersWithSpaces>
  <SharedDoc>false</SharedDoc>
  <HLinks>
    <vt:vector size="24" baseType="variant">
      <vt:variant>
        <vt:i4>3670115</vt:i4>
      </vt:variant>
      <vt:variant>
        <vt:i4>9</vt:i4>
      </vt:variant>
      <vt:variant>
        <vt:i4>0</vt:i4>
      </vt:variant>
      <vt:variant>
        <vt:i4>5</vt:i4>
      </vt:variant>
      <vt:variant>
        <vt:lpwstr>http://www.craemer.com/</vt:lpwstr>
      </vt:variant>
      <vt:variant>
        <vt:lpwstr/>
      </vt:variant>
      <vt:variant>
        <vt:i4>4653141</vt:i4>
      </vt:variant>
      <vt:variant>
        <vt:i4>6</vt:i4>
      </vt:variant>
      <vt:variant>
        <vt:i4>0</vt:i4>
      </vt:variant>
      <vt:variant>
        <vt:i4>5</vt:i4>
      </vt:variant>
      <vt:variant>
        <vt:lpwstr>http://www.schulergroup.com/</vt:lpwstr>
      </vt:variant>
      <vt:variant>
        <vt:lpwstr/>
      </vt:variant>
      <vt:variant>
        <vt:i4>3473445</vt:i4>
      </vt:variant>
      <vt:variant>
        <vt:i4>3</vt:i4>
      </vt:variant>
      <vt:variant>
        <vt:i4>0</vt:i4>
      </vt:variant>
      <vt:variant>
        <vt:i4>5</vt:i4>
      </vt:variant>
      <vt:variant>
        <vt:lpwstr>http://www.schulergroup.com/pr</vt:lpwstr>
      </vt:variant>
      <vt:variant>
        <vt:lpwstr/>
      </vt:variant>
      <vt:variant>
        <vt:i4>4784172</vt:i4>
      </vt:variant>
      <vt:variant>
        <vt:i4>0</vt:i4>
      </vt:variant>
      <vt:variant>
        <vt:i4>0</vt:i4>
      </vt:variant>
      <vt:variant>
        <vt:i4>5</vt:i4>
      </vt:variant>
      <vt:variant>
        <vt:lpwstr>mailto:Simon.Scherrenbacher@%0Bschulergroup.com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Das „Schuler Handbuch“</dc:title>
  <dc:creator>Ingo Schnaitmann</dc:creator>
  <cp:lastModifiedBy>Ingo Schnaitmann</cp:lastModifiedBy>
  <cp:revision>9</cp:revision>
  <cp:lastPrinted>2014-01-15T15:59:00Z</cp:lastPrinted>
  <dcterms:created xsi:type="dcterms:W3CDTF">2014-04-30T15:10:00Z</dcterms:created>
  <dcterms:modified xsi:type="dcterms:W3CDTF">2014-05-05T11:11:00Z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1312213126</vt:i4>
  </property>
  <property fmtid="{D5CDD505-2E9C-101B-9397-08002B2CF9AE}" pid="3" name="_NewReviewCycle">
    <vt:lpwstr/>
  </property>
  <property fmtid="{D5CDD505-2E9C-101B-9397-08002B2CF9AE}" pid="4" name="_EmailSubject">
    <vt:lpwstr>Entwurf Pressemitteilung</vt:lpwstr>
  </property>
  <property fmtid="{D5CDD505-2E9C-101B-9397-08002B2CF9AE}" pid="5" name="_AuthorEmail">
    <vt:lpwstr>Ingo.Schnaitmann@schulergroup.com</vt:lpwstr>
  </property>
  <property fmtid="{D5CDD505-2E9C-101B-9397-08002B2CF9AE}" pid="6" name="_AuthorEmailDisplayName">
    <vt:lpwstr>Schnaitmann, Ingo &lt;Ingo.Schnaitmann@schulergroup.com&gt;</vt:lpwstr>
  </property>
  <property fmtid="{D5CDD505-2E9C-101B-9397-08002B2CF9AE}" pid="7" name="_ReviewingToolsShownOnce">
    <vt:lpwstr/>
  </property>
</Properties>
</file>