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5F6D99" w:rsidP="008E1F8F">
            <w:pPr>
              <w:spacing w:line="226" w:lineRule="exact"/>
              <w:rPr>
                <w:rFonts w:eastAsia="Calibri"/>
                <w:b/>
                <w:sz w:val="17"/>
                <w:szCs w:val="17"/>
                <w:lang w:eastAsia="en-US"/>
              </w:rPr>
            </w:pPr>
            <w:r>
              <w:rPr>
                <w:rFonts w:eastAsia="Calibri"/>
                <w:b/>
                <w:sz w:val="17"/>
                <w:szCs w:val="17"/>
                <w:lang w:eastAsia="en-US"/>
              </w:rPr>
              <w:t>Ingo Schnaitmann</w:t>
            </w:r>
          </w:p>
          <w:p w:rsidR="004C4B30" w:rsidRPr="004C4B30" w:rsidRDefault="006560A0" w:rsidP="008E1F8F">
            <w:pPr>
              <w:spacing w:line="226" w:lineRule="exact"/>
              <w:rPr>
                <w:rFonts w:eastAsia="Calibri"/>
                <w:sz w:val="17"/>
                <w:szCs w:val="17"/>
                <w:lang w:eastAsia="en-US"/>
              </w:rPr>
            </w:pPr>
            <w:r>
              <w:rPr>
                <w:rFonts w:eastAsia="Calibri"/>
                <w:sz w:val="17"/>
                <w:szCs w:val="17"/>
                <w:lang w:eastAsia="en-US"/>
              </w:rPr>
              <w:t xml:space="preserve">Leiter </w:t>
            </w:r>
            <w:r w:rsidR="004C4B30"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w:t>
            </w:r>
            <w:r w:rsidR="005F6D99">
              <w:rPr>
                <w:rFonts w:eastAsia="Calibri"/>
                <w:sz w:val="17"/>
                <w:szCs w:val="17"/>
                <w:lang w:eastAsia="en-US"/>
              </w:rPr>
              <w:t>201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4579F1" w:rsidP="008E1F8F">
            <w:pPr>
              <w:spacing w:line="226" w:lineRule="exact"/>
              <w:rPr>
                <w:rFonts w:eastAsia="Calibri"/>
                <w:sz w:val="17"/>
                <w:szCs w:val="17"/>
                <w:lang w:eastAsia="en-US"/>
              </w:rPr>
            </w:pPr>
            <w:hyperlink r:id="rId9" w:history="1">
              <w:r w:rsidR="005F6D99" w:rsidRPr="00EF5D9C">
                <w:rPr>
                  <w:rStyle w:val="Hyperlink"/>
                  <w:rFonts w:eastAsia="Calibri"/>
                  <w:sz w:val="17"/>
                  <w:szCs w:val="17"/>
                  <w:lang w:eastAsia="en-US"/>
                </w:rPr>
                <w:t>Ingo.Schnaitmann@</w:t>
              </w:r>
              <w:r w:rsidR="005F6D99" w:rsidRPr="00EF5D9C">
                <w:rPr>
                  <w:rStyle w:val="Hyperlink"/>
                  <w:rFonts w:eastAsia="Calibri"/>
                  <w:sz w:val="17"/>
                  <w:szCs w:val="17"/>
                  <w:lang w:eastAsia="en-US"/>
                </w:rPr>
                <w:br/>
                <w:t>schulergroup.com</w:t>
              </w:r>
            </w:hyperlink>
          </w:p>
          <w:p w:rsidR="004C4B30" w:rsidRPr="004C4B30" w:rsidRDefault="004579F1" w:rsidP="008E1F8F">
            <w:pPr>
              <w:spacing w:line="226" w:lineRule="exact"/>
              <w:rPr>
                <w:rFonts w:eastAsia="Calibri"/>
                <w:sz w:val="17"/>
                <w:szCs w:val="17"/>
                <w:lang w:eastAsia="en-US"/>
              </w:rPr>
            </w:pPr>
            <w:hyperlink r:id="rId10"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450820" w:rsidP="00365A9E">
      <w:pPr>
        <w:pStyle w:val="berschrift1"/>
        <w:rPr>
          <w:sz w:val="2"/>
        </w:rPr>
      </w:pPr>
      <w:r>
        <w:t>Konzernumbau kommt voran</w:t>
      </w:r>
    </w:p>
    <w:p w:rsidR="006A31D9" w:rsidRDefault="0052712A" w:rsidP="00365A9E">
      <w:pPr>
        <w:pStyle w:val="berschrift2"/>
      </w:pPr>
      <w:r>
        <w:t xml:space="preserve">Drei-Monats-Umsatz bei </w:t>
      </w:r>
      <w:r w:rsidR="007F6A34">
        <w:t>knapp 260</w:t>
      </w:r>
      <w:r>
        <w:t xml:space="preserve"> Mi</w:t>
      </w:r>
      <w:r w:rsidR="007F553D">
        <w:t>llionen Euro</w:t>
      </w:r>
      <w:r>
        <w:t xml:space="preserve"> </w:t>
      </w:r>
      <w:r w:rsidR="00C707C6">
        <w:t xml:space="preserve">– </w:t>
      </w:r>
      <w:r w:rsidR="00450820">
        <w:t>Einmaleffekte</w:t>
      </w:r>
      <w:r>
        <w:t xml:space="preserve"> belaste</w:t>
      </w:r>
      <w:r w:rsidR="00450820">
        <w:t>n</w:t>
      </w:r>
      <w:r>
        <w:t xml:space="preserve"> Ergebnis </w:t>
      </w:r>
      <w:r w:rsidR="006560A0">
        <w:t>–</w:t>
      </w:r>
      <w:r>
        <w:t xml:space="preserve"> </w:t>
      </w:r>
      <w:r w:rsidR="00777E50">
        <w:t>Operatives Ergebnis erneut auf hohem Niveau</w:t>
      </w:r>
    </w:p>
    <w:p w:rsidR="00476D9C" w:rsidRPr="00476D9C" w:rsidRDefault="00476D9C" w:rsidP="00476D9C"/>
    <w:p w:rsidR="00CF0298" w:rsidRDefault="00C82B81" w:rsidP="006560A0">
      <w:r>
        <w:rPr>
          <w:i/>
        </w:rPr>
        <w:t xml:space="preserve">Göppingen, </w:t>
      </w:r>
      <w:r w:rsidR="0052712A">
        <w:rPr>
          <w:i/>
        </w:rPr>
        <w:t>28</w:t>
      </w:r>
      <w:r w:rsidR="005833D5">
        <w:rPr>
          <w:i/>
        </w:rPr>
        <w:t>.</w:t>
      </w:r>
      <w:r w:rsidR="0052712A">
        <w:rPr>
          <w:i/>
        </w:rPr>
        <w:t>02</w:t>
      </w:r>
      <w:r w:rsidR="005833D5" w:rsidRPr="005833D5">
        <w:rPr>
          <w:i/>
        </w:rPr>
        <w:t>.201</w:t>
      </w:r>
      <w:r w:rsidR="005833D5">
        <w:rPr>
          <w:i/>
        </w:rPr>
        <w:t>4</w:t>
      </w:r>
      <w:r w:rsidR="005833D5" w:rsidRPr="005833D5">
        <w:rPr>
          <w:i/>
        </w:rPr>
        <w:t xml:space="preserve"> </w:t>
      </w:r>
      <w:r w:rsidR="000F2F77">
        <w:t>–</w:t>
      </w:r>
      <w:r w:rsidR="006560A0">
        <w:t xml:space="preserve"> </w:t>
      </w:r>
      <w:r w:rsidR="00DF3F25">
        <w:t xml:space="preserve">Mit 258,8 Millionen Euro hat die </w:t>
      </w:r>
      <w:r w:rsidR="006560A0">
        <w:t xml:space="preserve">Schuler AG </w:t>
      </w:r>
      <w:r w:rsidR="00DF3F25">
        <w:t xml:space="preserve">das gesteckte Umsatzziel </w:t>
      </w:r>
      <w:r w:rsidR="006560A0">
        <w:t xml:space="preserve">im dreimonatigen Rumpfgeschäftsjahr 2013 erreicht. </w:t>
      </w:r>
      <w:r w:rsidR="00CF0298">
        <w:t xml:space="preserve">Für </w:t>
      </w:r>
      <w:r w:rsidR="005C0B69" w:rsidRPr="006560A0">
        <w:t>Oktober bis Dezember 2013</w:t>
      </w:r>
      <w:r w:rsidR="005C0B69">
        <w:t xml:space="preserve"> </w:t>
      </w:r>
      <w:r w:rsidR="00C87449">
        <w:t xml:space="preserve">prognostizierte der </w:t>
      </w:r>
      <w:r w:rsidR="00462686">
        <w:t xml:space="preserve">Pressenhersteller </w:t>
      </w:r>
      <w:r w:rsidR="00523ACD">
        <w:t xml:space="preserve">Erlöse von </w:t>
      </w:r>
      <w:r w:rsidR="00C87449">
        <w:t xml:space="preserve">mehr als </w:t>
      </w:r>
      <w:r w:rsidR="00523ACD">
        <w:t>einer Viertelmilliarde</w:t>
      </w:r>
      <w:r w:rsidR="00631D88">
        <w:t xml:space="preserve"> Euro</w:t>
      </w:r>
      <w:r w:rsidR="00C87449">
        <w:t>.</w:t>
      </w:r>
      <w:r w:rsidR="00B8349C">
        <w:t xml:space="preserve"> </w:t>
      </w:r>
      <w:r w:rsidR="00DF3F25">
        <w:t>Die w</w:t>
      </w:r>
      <w:r w:rsidR="00CF0298">
        <w:t>ichtigste</w:t>
      </w:r>
      <w:r w:rsidR="00DF3F25">
        <w:t>n</w:t>
      </w:r>
      <w:r w:rsidR="00CF0298">
        <w:t xml:space="preserve"> Märkte waren Deutschland, China und </w:t>
      </w:r>
      <w:r w:rsidR="007F6A34">
        <w:t xml:space="preserve">die </w:t>
      </w:r>
      <w:r w:rsidR="00CF0298">
        <w:t xml:space="preserve">USA. </w:t>
      </w:r>
      <w:r w:rsidR="00450820">
        <w:t>Seit Januar 2014 gilt bei Schuler das Kalenderjahr als Geschäftsjahr.</w:t>
      </w:r>
    </w:p>
    <w:p w:rsidR="00CF0298" w:rsidRDefault="00CF0298" w:rsidP="006560A0"/>
    <w:p w:rsidR="006560A0" w:rsidRDefault="006560A0" w:rsidP="006560A0">
      <w:r>
        <w:t xml:space="preserve">Der Auftragseingang belief sich </w:t>
      </w:r>
      <w:r w:rsidR="00450820">
        <w:t>im Rumpf</w:t>
      </w:r>
      <w:r w:rsidR="00D8718A">
        <w:t>geschäfts</w:t>
      </w:r>
      <w:r w:rsidR="00450820">
        <w:t xml:space="preserve">jahr </w:t>
      </w:r>
      <w:r>
        <w:t>auf 210,6</w:t>
      </w:r>
      <w:r w:rsidR="00C707C6">
        <w:t> </w:t>
      </w:r>
      <w:r>
        <w:t>Mi</w:t>
      </w:r>
      <w:r w:rsidR="00B8349C">
        <w:t>llionen Euro</w:t>
      </w:r>
      <w:r w:rsidR="00450820">
        <w:t xml:space="preserve">. </w:t>
      </w:r>
      <w:r w:rsidR="00462686">
        <w:t>„</w:t>
      </w:r>
      <w:r w:rsidR="00450820">
        <w:t xml:space="preserve">Aktuell </w:t>
      </w:r>
      <w:r>
        <w:t>stellen wir eine leichte Belebung fest</w:t>
      </w:r>
      <w:r w:rsidR="00D8718A">
        <w:t xml:space="preserve"> </w:t>
      </w:r>
      <w:r w:rsidR="00462686">
        <w:t xml:space="preserve">“, </w:t>
      </w:r>
      <w:r w:rsidR="00FF6D1B">
        <w:t>sagte</w:t>
      </w:r>
      <w:r w:rsidR="00DF3F25">
        <w:t xml:space="preserve"> der</w:t>
      </w:r>
      <w:r w:rsidR="008B6E7C">
        <w:t xml:space="preserve"> </w:t>
      </w:r>
      <w:r w:rsidR="00DF3F25">
        <w:t xml:space="preserve">Schuler Vorstandsvorsitzende </w:t>
      </w:r>
      <w:r w:rsidR="008B6E7C">
        <w:t>Stefan Klebert</w:t>
      </w:r>
      <w:r w:rsidR="00DF3F25">
        <w:t xml:space="preserve"> </w:t>
      </w:r>
      <w:r w:rsidR="008B6E7C">
        <w:t xml:space="preserve">zur </w:t>
      </w:r>
      <w:r w:rsidR="00450820">
        <w:t>Auftragse</w:t>
      </w:r>
      <w:r w:rsidR="008B6E7C">
        <w:t xml:space="preserve">ntwicklung. </w:t>
      </w:r>
    </w:p>
    <w:p w:rsidR="007F4D94" w:rsidRDefault="007F4D94" w:rsidP="006560A0"/>
    <w:p w:rsidR="00D8718A" w:rsidRDefault="00D8718A" w:rsidP="00D8718A">
      <w:r>
        <w:t xml:space="preserve">Im Rahmen des Konzern-Strategieprojekts </w:t>
      </w:r>
      <w:proofErr w:type="spellStart"/>
      <w:r>
        <w:t>ZusammenWachsen</w:t>
      </w:r>
      <w:proofErr w:type="spellEnd"/>
      <w:r>
        <w:t xml:space="preserve"> 2.0 verstärkt Schuler die </w:t>
      </w:r>
      <w:r w:rsidRPr="00724534">
        <w:rPr>
          <w:rFonts w:asciiTheme="minorHAnsi" w:hAnsiTheme="minorHAnsi"/>
        </w:rPr>
        <w:t xml:space="preserve">Internationalisierung </w:t>
      </w:r>
      <w:r>
        <w:t xml:space="preserve">und passt Produktions- und Verwaltungsstrukturen in Deutschland an. Vorstand und zweite Führungsebene wurden bereits 2013 verkleinert sowie jüngst mehrere deutsche Gesellschaften zusammengefasst. Für den Konzernumbau veranschlagt das Unternehmen Aufwendungen von rund 50 Millionen Euro. Im Rumpfgeschäftsjahr 2013 sind davon 43,2 Millionen Euro erfasst. </w:t>
      </w:r>
    </w:p>
    <w:p w:rsidR="006560A0" w:rsidRDefault="00D21B4B" w:rsidP="006560A0">
      <w:r>
        <w:lastRenderedPageBreak/>
        <w:t>Infolgedessen</w:t>
      </w:r>
      <w:r w:rsidR="0005543F">
        <w:t xml:space="preserve"> </w:t>
      </w:r>
      <w:r w:rsidR="00ED602C">
        <w:t xml:space="preserve">waren </w:t>
      </w:r>
      <w:r w:rsidR="0005543F">
        <w:t xml:space="preserve"> EBITA </w:t>
      </w:r>
      <w:r w:rsidR="00D8718A">
        <w:t xml:space="preserve">und Konzernergebnis </w:t>
      </w:r>
      <w:r w:rsidR="0005543F">
        <w:t>erwartungsgemäß</w:t>
      </w:r>
      <w:r w:rsidR="00D8718A">
        <w:t xml:space="preserve"> </w:t>
      </w:r>
      <w:r w:rsidR="0005543F">
        <w:t>mit</w:t>
      </w:r>
      <w:r>
        <w:br/>
        <w:t>-</w:t>
      </w:r>
      <w:r w:rsidR="00CF0298">
        <w:t>2</w:t>
      </w:r>
      <w:r w:rsidR="0005543F">
        <w:t xml:space="preserve">7,2 </w:t>
      </w:r>
      <w:r w:rsidR="007F553D">
        <w:t>Millionen</w:t>
      </w:r>
      <w:r w:rsidR="00D8718A">
        <w:t xml:space="preserve"> </w:t>
      </w:r>
      <w:r>
        <w:t xml:space="preserve">Euro beziehungsweise </w:t>
      </w:r>
      <w:r w:rsidR="00ED602C">
        <w:t xml:space="preserve"> -25,0 Millionen</w:t>
      </w:r>
      <w:r w:rsidR="00D8718A">
        <w:t xml:space="preserve"> Euro</w:t>
      </w:r>
      <w:r w:rsidR="00ED602C">
        <w:t xml:space="preserve"> </w:t>
      </w:r>
      <w:r w:rsidR="0005543F">
        <w:t>negativ</w:t>
      </w:r>
      <w:r w:rsidR="00ED602C">
        <w:t xml:space="preserve">. </w:t>
      </w:r>
      <w:r w:rsidR="0005543F">
        <w:t xml:space="preserve"> </w:t>
      </w:r>
      <w:r w:rsidR="006560A0">
        <w:t xml:space="preserve">Bereinigt um </w:t>
      </w:r>
      <w:r w:rsidR="004579F1">
        <w:t xml:space="preserve">alle </w:t>
      </w:r>
      <w:r w:rsidR="006560A0">
        <w:t>Sondereffekte betrug das EBITA des Rumpfgeschäftsjahres 18,2 M</w:t>
      </w:r>
      <w:r w:rsidR="007F4D94">
        <w:t>illionen Euro</w:t>
      </w:r>
      <w:r w:rsidR="006560A0">
        <w:t>. Die bereinigte EBITA-Rendite lag bei</w:t>
      </w:r>
      <w:r w:rsidR="00ED602C">
        <w:t xml:space="preserve"> </w:t>
      </w:r>
      <w:r>
        <w:t xml:space="preserve"> </w:t>
      </w:r>
      <w:r w:rsidR="006560A0">
        <w:t>7,0</w:t>
      </w:r>
      <w:r w:rsidR="00ED602C">
        <w:t xml:space="preserve"> Prozent</w:t>
      </w:r>
      <w:r w:rsidR="006560A0">
        <w:t>, die bereinigte EBITDA-Marge bei 9,0</w:t>
      </w:r>
      <w:r w:rsidR="007F6A34">
        <w:t> </w:t>
      </w:r>
      <w:r w:rsidR="00ED602C">
        <w:t>Prozent</w:t>
      </w:r>
      <w:r w:rsidR="006560A0">
        <w:t xml:space="preserve">. Sie </w:t>
      </w:r>
      <w:r w:rsidR="00450820">
        <w:t xml:space="preserve">war </w:t>
      </w:r>
      <w:r w:rsidR="006560A0">
        <w:t xml:space="preserve">damit so hoch wie im </w:t>
      </w:r>
      <w:r w:rsidR="00777E50">
        <w:t>vergleichbaren</w:t>
      </w:r>
      <w:r>
        <w:t xml:space="preserve">, </w:t>
      </w:r>
      <w:r w:rsidR="00777E50">
        <w:t xml:space="preserve">sehr </w:t>
      </w:r>
      <w:r w:rsidR="006560A0">
        <w:t>guten</w:t>
      </w:r>
      <w:r>
        <w:t xml:space="preserve"> vierten </w:t>
      </w:r>
      <w:r w:rsidR="00777E50">
        <w:t>Kalenderq</w:t>
      </w:r>
      <w:r w:rsidR="006560A0">
        <w:t>uartal</w:t>
      </w:r>
      <w:r w:rsidR="00777E50">
        <w:t xml:space="preserve"> 2012</w:t>
      </w:r>
      <w:r w:rsidR="006560A0">
        <w:t>.</w:t>
      </w:r>
    </w:p>
    <w:p w:rsidR="00D21B4B" w:rsidRDefault="00D21B4B" w:rsidP="006560A0"/>
    <w:p w:rsidR="006560A0" w:rsidRDefault="00536C71" w:rsidP="00384FCC">
      <w:r>
        <w:t>„</w:t>
      </w:r>
      <w:r w:rsidR="006560A0">
        <w:t>Nach Umsetzung der Veränderungsmaßnahmen streben wir mittelfristig wieder eine EBITA-Zielrendite von 8,5 Prozent an, w</w:t>
      </w:r>
      <w:r w:rsidR="00450820">
        <w:t>ie wir sie im Rekordgeschäftsjahr 2012/13 hatten</w:t>
      </w:r>
      <w:r>
        <w:t>“, erklärte Klebert</w:t>
      </w:r>
      <w:r w:rsidR="006C68B3">
        <w:t xml:space="preserve">. Er </w:t>
      </w:r>
      <w:r w:rsidR="00384FCC">
        <w:t>b</w:t>
      </w:r>
      <w:r>
        <w:t xml:space="preserve">estätigte die </w:t>
      </w:r>
      <w:r w:rsidR="00384FCC">
        <w:t>Umsatzp</w:t>
      </w:r>
      <w:r>
        <w:t xml:space="preserve">rognose für </w:t>
      </w:r>
      <w:r w:rsidR="006560A0">
        <w:t>das Geschäftsjahr 2014</w:t>
      </w:r>
      <w:r>
        <w:t xml:space="preserve">. Schuler </w:t>
      </w:r>
      <w:r w:rsidR="006560A0">
        <w:t>erwarte</w:t>
      </w:r>
      <w:r>
        <w:t xml:space="preserve">t </w:t>
      </w:r>
      <w:r w:rsidR="006560A0">
        <w:t>einen Konzernumsatz von rund 1,1 M</w:t>
      </w:r>
      <w:r w:rsidR="00384FCC">
        <w:t xml:space="preserve">illiarden Euro. </w:t>
      </w:r>
      <w:r w:rsidR="006C68B3">
        <w:t xml:space="preserve">Der </w:t>
      </w:r>
      <w:r w:rsidR="00384FCC">
        <w:t xml:space="preserve">Auftragsbestand von </w:t>
      </w:r>
      <w:r w:rsidR="006560A0">
        <w:t>1,0</w:t>
      </w:r>
      <w:r w:rsidR="00DF3F25">
        <w:t> </w:t>
      </w:r>
      <w:r w:rsidR="00384FCC">
        <w:t>Milliarden</w:t>
      </w:r>
      <w:r>
        <w:t xml:space="preserve"> Euro </w:t>
      </w:r>
      <w:r w:rsidR="00384FCC">
        <w:t xml:space="preserve">und </w:t>
      </w:r>
      <w:r w:rsidR="006C68B3">
        <w:t xml:space="preserve">die </w:t>
      </w:r>
      <w:r w:rsidR="00384FCC">
        <w:t>a</w:t>
      </w:r>
      <w:r w:rsidR="006560A0">
        <w:t>us heutiger Sicht stabile Konjunktur</w:t>
      </w:r>
      <w:r w:rsidR="00384FCC">
        <w:t xml:space="preserve"> </w:t>
      </w:r>
      <w:r w:rsidR="00D61308">
        <w:t xml:space="preserve">sind </w:t>
      </w:r>
      <w:r w:rsidR="006C68B3">
        <w:t xml:space="preserve"> dafür gute Voraussetzungen. </w:t>
      </w:r>
      <w:r w:rsidR="00384FCC">
        <w:t xml:space="preserve"> </w:t>
      </w:r>
    </w:p>
    <w:p w:rsidR="00D21B4B" w:rsidRDefault="00D21B4B">
      <w:pPr>
        <w:spacing w:line="240" w:lineRule="auto"/>
        <w:rPr>
          <w:rFonts w:asciiTheme="minorHAnsi" w:hAnsiTheme="minorHAnsi"/>
          <w:b/>
          <w:sz w:val="24"/>
          <w:szCs w:val="24"/>
        </w:rPr>
      </w:pPr>
      <w:r>
        <w:rPr>
          <w:rFonts w:asciiTheme="minorHAnsi" w:hAnsiTheme="minorHAnsi"/>
          <w:b/>
          <w:sz w:val="24"/>
          <w:szCs w:val="24"/>
        </w:rPr>
        <w:br w:type="page"/>
      </w:r>
    </w:p>
    <w:p w:rsidR="00CF0298" w:rsidRDefault="00CF0298">
      <w:pPr>
        <w:spacing w:line="240" w:lineRule="auto"/>
        <w:rPr>
          <w:rFonts w:asciiTheme="minorHAnsi" w:hAnsiTheme="minorHAnsi"/>
          <w:b/>
          <w:sz w:val="24"/>
          <w:szCs w:val="24"/>
        </w:rPr>
      </w:pPr>
    </w:p>
    <w:p w:rsidR="00CF0298" w:rsidRPr="0031070A" w:rsidRDefault="00CF0298" w:rsidP="00CF0298">
      <w:pPr>
        <w:rPr>
          <w:rFonts w:asciiTheme="minorHAnsi" w:hAnsiTheme="minorHAnsi"/>
          <w:b/>
          <w:sz w:val="24"/>
          <w:szCs w:val="24"/>
        </w:rPr>
      </w:pPr>
      <w:r w:rsidRPr="0031070A">
        <w:rPr>
          <w:rFonts w:asciiTheme="minorHAnsi" w:hAnsiTheme="minorHAnsi"/>
          <w:b/>
          <w:sz w:val="24"/>
          <w:szCs w:val="24"/>
        </w:rPr>
        <w:t xml:space="preserve">Schuler-Konzernkennzahlen: </w:t>
      </w:r>
    </w:p>
    <w:tbl>
      <w:tblPr>
        <w:tblW w:w="54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2322"/>
        <w:gridCol w:w="828"/>
        <w:gridCol w:w="1186"/>
        <w:gridCol w:w="1128"/>
      </w:tblGrid>
      <w:tr w:rsidR="00CF0298" w:rsidRPr="0035449E" w:rsidTr="00CF0298">
        <w:trPr>
          <w:trHeight w:val="447"/>
        </w:trPr>
        <w:tc>
          <w:tcPr>
            <w:tcW w:w="2376" w:type="dxa"/>
            <w:tcBorders>
              <w:top w:val="single" w:sz="18" w:space="0" w:color="auto"/>
              <w:bottom w:val="single" w:sz="12" w:space="0" w:color="auto"/>
            </w:tcBorders>
            <w:vAlign w:val="center"/>
          </w:tcPr>
          <w:p w:rsidR="00CF0298" w:rsidRPr="0035449E" w:rsidRDefault="00CF0298" w:rsidP="002C07E9">
            <w:pPr>
              <w:pStyle w:val="KeinLeerraum"/>
              <w:rPr>
                <w:rFonts w:asciiTheme="minorHAnsi" w:hAnsiTheme="minorHAnsi"/>
              </w:rPr>
            </w:pPr>
          </w:p>
        </w:tc>
        <w:tc>
          <w:tcPr>
            <w:tcW w:w="851" w:type="dxa"/>
            <w:tcBorders>
              <w:top w:val="single" w:sz="18" w:space="0" w:color="auto"/>
              <w:bottom w:val="single" w:sz="12" w:space="0" w:color="auto"/>
            </w:tcBorders>
            <w:vAlign w:val="center"/>
          </w:tcPr>
          <w:p w:rsidR="00CF0298" w:rsidRPr="0035449E" w:rsidRDefault="00CF0298" w:rsidP="002C07E9">
            <w:pPr>
              <w:pStyle w:val="KeinLeerraum"/>
              <w:rPr>
                <w:rFonts w:asciiTheme="minorHAnsi" w:hAnsiTheme="minorHAnsi"/>
              </w:rPr>
            </w:pPr>
          </w:p>
        </w:tc>
        <w:tc>
          <w:tcPr>
            <w:tcW w:w="1091" w:type="dxa"/>
            <w:tcBorders>
              <w:top w:val="single" w:sz="18" w:space="0" w:color="auto"/>
              <w:bottom w:val="single" w:sz="12" w:space="0" w:color="auto"/>
            </w:tcBorders>
            <w:vAlign w:val="center"/>
          </w:tcPr>
          <w:p w:rsidR="00CF0298" w:rsidRDefault="00CF0298" w:rsidP="00CF0298">
            <w:pPr>
              <w:pStyle w:val="KeinLeerraum"/>
              <w:jc w:val="right"/>
              <w:rPr>
                <w:rFonts w:asciiTheme="minorHAnsi" w:hAnsiTheme="minorHAnsi"/>
                <w:b/>
              </w:rPr>
            </w:pPr>
            <w:r>
              <w:rPr>
                <w:rFonts w:asciiTheme="minorHAnsi" w:hAnsiTheme="minorHAnsi"/>
                <w:b/>
              </w:rPr>
              <w:t xml:space="preserve">Rumpfjahr </w:t>
            </w:r>
          </w:p>
          <w:p w:rsidR="00CF0298" w:rsidRPr="0035449E" w:rsidRDefault="00CF0298" w:rsidP="00CF0298">
            <w:pPr>
              <w:pStyle w:val="KeinLeerraum"/>
              <w:jc w:val="right"/>
              <w:rPr>
                <w:rFonts w:asciiTheme="minorHAnsi" w:hAnsiTheme="minorHAnsi"/>
                <w:b/>
              </w:rPr>
            </w:pPr>
            <w:r>
              <w:rPr>
                <w:rFonts w:asciiTheme="minorHAnsi" w:hAnsiTheme="minorHAnsi"/>
                <w:b/>
              </w:rPr>
              <w:t>Okt</w:t>
            </w:r>
            <w:r w:rsidR="00D21B4B">
              <w:rPr>
                <w:rFonts w:asciiTheme="minorHAnsi" w:hAnsiTheme="minorHAnsi"/>
                <w:b/>
              </w:rPr>
              <w:t>.</w:t>
            </w:r>
            <w:r>
              <w:rPr>
                <w:rFonts w:asciiTheme="minorHAnsi" w:hAnsiTheme="minorHAnsi"/>
                <w:b/>
              </w:rPr>
              <w:t>-Dez. 2013</w:t>
            </w:r>
          </w:p>
        </w:tc>
        <w:tc>
          <w:tcPr>
            <w:tcW w:w="1146" w:type="dxa"/>
            <w:tcBorders>
              <w:top w:val="single" w:sz="18" w:space="0" w:color="auto"/>
              <w:bottom w:val="single" w:sz="12" w:space="0" w:color="auto"/>
            </w:tcBorders>
            <w:vAlign w:val="center"/>
          </w:tcPr>
          <w:p w:rsidR="00CF0298" w:rsidRPr="0035449E" w:rsidRDefault="00CF0298" w:rsidP="00CF0298">
            <w:pPr>
              <w:pStyle w:val="KeinLeerraum"/>
              <w:jc w:val="right"/>
              <w:rPr>
                <w:rFonts w:asciiTheme="minorHAnsi" w:hAnsiTheme="minorHAnsi"/>
              </w:rPr>
            </w:pPr>
            <w:r w:rsidRPr="0035449E">
              <w:rPr>
                <w:rFonts w:asciiTheme="minorHAnsi" w:hAnsiTheme="minorHAnsi"/>
              </w:rPr>
              <w:t>201</w:t>
            </w:r>
            <w:r>
              <w:rPr>
                <w:rFonts w:asciiTheme="minorHAnsi" w:hAnsiTheme="minorHAnsi"/>
              </w:rPr>
              <w:t>2</w:t>
            </w:r>
            <w:r w:rsidRPr="0035449E">
              <w:rPr>
                <w:rFonts w:asciiTheme="minorHAnsi" w:hAnsiTheme="minorHAnsi"/>
              </w:rPr>
              <w:t>/1</w:t>
            </w:r>
            <w:r>
              <w:rPr>
                <w:rFonts w:asciiTheme="minorHAnsi" w:hAnsiTheme="minorHAnsi"/>
              </w:rPr>
              <w:t>3</w:t>
            </w:r>
          </w:p>
        </w:tc>
      </w:tr>
      <w:tr w:rsidR="00CF0298" w:rsidRPr="0035449E" w:rsidTr="00CF0298">
        <w:trPr>
          <w:trHeight w:val="447"/>
        </w:trPr>
        <w:tc>
          <w:tcPr>
            <w:tcW w:w="2376" w:type="dxa"/>
            <w:tcBorders>
              <w:top w:val="single" w:sz="12" w:space="0" w:color="auto"/>
            </w:tcBorders>
            <w:vAlign w:val="center"/>
          </w:tcPr>
          <w:p w:rsidR="00CF0298" w:rsidRPr="0035449E" w:rsidRDefault="00CF0298" w:rsidP="002C07E9">
            <w:pPr>
              <w:pStyle w:val="KeinLeerraum"/>
              <w:rPr>
                <w:rFonts w:asciiTheme="minorHAnsi" w:hAnsiTheme="minorHAnsi"/>
              </w:rPr>
            </w:pPr>
            <w:r w:rsidRPr="0035449E">
              <w:rPr>
                <w:rFonts w:asciiTheme="minorHAnsi" w:hAnsiTheme="minorHAnsi"/>
              </w:rPr>
              <w:t>Umsatz</w:t>
            </w:r>
          </w:p>
        </w:tc>
        <w:tc>
          <w:tcPr>
            <w:tcW w:w="851" w:type="dxa"/>
            <w:tcBorders>
              <w:top w:val="single" w:sz="12" w:space="0" w:color="auto"/>
            </w:tcBorders>
            <w:vAlign w:val="center"/>
          </w:tcPr>
          <w:p w:rsidR="00CF0298" w:rsidRPr="0035449E" w:rsidRDefault="00CF0298" w:rsidP="002C07E9">
            <w:pPr>
              <w:pStyle w:val="KeinLeerraum"/>
              <w:rPr>
                <w:rFonts w:asciiTheme="minorHAnsi" w:hAnsiTheme="minorHAnsi"/>
              </w:rPr>
            </w:pPr>
            <w:r w:rsidRPr="0035449E">
              <w:rPr>
                <w:rFonts w:asciiTheme="minorHAnsi" w:hAnsiTheme="minorHAnsi"/>
              </w:rPr>
              <w:t>Mio. €</w:t>
            </w:r>
          </w:p>
        </w:tc>
        <w:tc>
          <w:tcPr>
            <w:tcW w:w="1091" w:type="dxa"/>
            <w:tcBorders>
              <w:top w:val="single" w:sz="12" w:space="0" w:color="auto"/>
            </w:tcBorders>
            <w:shd w:val="clear" w:color="auto" w:fill="BFBFBF"/>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258,8</w:t>
            </w:r>
          </w:p>
        </w:tc>
        <w:tc>
          <w:tcPr>
            <w:tcW w:w="1146" w:type="dxa"/>
            <w:tcBorders>
              <w:top w:val="single" w:sz="12" w:space="0" w:color="auto"/>
            </w:tcBorders>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1.185,9</w:t>
            </w:r>
          </w:p>
        </w:tc>
      </w:tr>
      <w:tr w:rsidR="00CF0298" w:rsidRPr="0035449E" w:rsidTr="00CF0298">
        <w:trPr>
          <w:trHeight w:val="447"/>
        </w:trPr>
        <w:tc>
          <w:tcPr>
            <w:tcW w:w="2376"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Auftragseingang</w:t>
            </w:r>
          </w:p>
        </w:tc>
        <w:tc>
          <w:tcPr>
            <w:tcW w:w="851"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Mio. €</w:t>
            </w:r>
          </w:p>
        </w:tc>
        <w:tc>
          <w:tcPr>
            <w:tcW w:w="1091" w:type="dxa"/>
            <w:shd w:val="clear" w:color="auto" w:fill="BFBFBF"/>
            <w:vAlign w:val="center"/>
          </w:tcPr>
          <w:p w:rsidR="00CF0298" w:rsidRPr="0035449E" w:rsidRDefault="00CF0298" w:rsidP="002C07E9">
            <w:pPr>
              <w:pStyle w:val="KeinLeerraum"/>
              <w:jc w:val="right"/>
              <w:rPr>
                <w:rFonts w:asciiTheme="minorHAnsi" w:hAnsiTheme="minorHAnsi"/>
                <w:b/>
              </w:rPr>
            </w:pPr>
            <w:r w:rsidRPr="00CF0298">
              <w:rPr>
                <w:rFonts w:asciiTheme="minorHAnsi" w:hAnsiTheme="minorHAnsi"/>
                <w:b/>
              </w:rPr>
              <w:t>210,6</w:t>
            </w:r>
          </w:p>
        </w:tc>
        <w:tc>
          <w:tcPr>
            <w:tcW w:w="1146" w:type="dxa"/>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1.163,3</w:t>
            </w:r>
          </w:p>
        </w:tc>
      </w:tr>
      <w:tr w:rsidR="00CF0298" w:rsidRPr="0035449E" w:rsidTr="00CF0298">
        <w:trPr>
          <w:trHeight w:val="447"/>
        </w:trPr>
        <w:tc>
          <w:tcPr>
            <w:tcW w:w="2376"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 xml:space="preserve">Auftragsbestand </w:t>
            </w:r>
            <w:r w:rsidRPr="0035449E">
              <w:rPr>
                <w:rFonts w:asciiTheme="minorHAnsi" w:hAnsiTheme="minorHAnsi"/>
                <w:vertAlign w:val="superscript"/>
              </w:rPr>
              <w:t>1</w:t>
            </w:r>
          </w:p>
        </w:tc>
        <w:tc>
          <w:tcPr>
            <w:tcW w:w="851"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Mio. €</w:t>
            </w:r>
          </w:p>
        </w:tc>
        <w:tc>
          <w:tcPr>
            <w:tcW w:w="1091" w:type="dxa"/>
            <w:shd w:val="clear" w:color="auto" w:fill="BFBFBF"/>
            <w:vAlign w:val="center"/>
          </w:tcPr>
          <w:p w:rsidR="00CF0298" w:rsidRPr="0035449E" w:rsidRDefault="00CF0298" w:rsidP="002C07E9">
            <w:pPr>
              <w:pStyle w:val="KeinLeerraum"/>
              <w:jc w:val="right"/>
              <w:rPr>
                <w:rFonts w:asciiTheme="minorHAnsi" w:hAnsiTheme="minorHAnsi"/>
                <w:b/>
              </w:rPr>
            </w:pPr>
            <w:r w:rsidRPr="00CF0298">
              <w:rPr>
                <w:rFonts w:asciiTheme="minorHAnsi" w:hAnsiTheme="minorHAnsi"/>
                <w:b/>
              </w:rPr>
              <w:t>1.039,8</w:t>
            </w:r>
          </w:p>
        </w:tc>
        <w:tc>
          <w:tcPr>
            <w:tcW w:w="1146" w:type="dxa"/>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1.087,9</w:t>
            </w:r>
          </w:p>
        </w:tc>
      </w:tr>
      <w:tr w:rsidR="00CF0298" w:rsidRPr="0035449E" w:rsidTr="00CF0298">
        <w:trPr>
          <w:trHeight w:val="447"/>
        </w:trPr>
        <w:tc>
          <w:tcPr>
            <w:tcW w:w="2376"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EBITDA</w:t>
            </w:r>
          </w:p>
        </w:tc>
        <w:tc>
          <w:tcPr>
            <w:tcW w:w="851"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Mio. €</w:t>
            </w:r>
          </w:p>
        </w:tc>
        <w:tc>
          <w:tcPr>
            <w:tcW w:w="1091" w:type="dxa"/>
            <w:shd w:val="clear" w:color="auto" w:fill="BFBFBF"/>
            <w:vAlign w:val="center"/>
          </w:tcPr>
          <w:p w:rsidR="00CF0298" w:rsidRPr="0035449E" w:rsidRDefault="00F0294B" w:rsidP="002C07E9">
            <w:pPr>
              <w:pStyle w:val="KeinLeerraum"/>
              <w:jc w:val="right"/>
              <w:rPr>
                <w:rFonts w:asciiTheme="minorHAnsi" w:hAnsiTheme="minorHAnsi"/>
                <w:b/>
              </w:rPr>
            </w:pPr>
            <w:r>
              <w:rPr>
                <w:rFonts w:asciiTheme="minorHAnsi" w:hAnsiTheme="minorHAnsi"/>
                <w:b/>
              </w:rPr>
              <w:t>-20,8</w:t>
            </w:r>
          </w:p>
        </w:tc>
        <w:tc>
          <w:tcPr>
            <w:tcW w:w="1146" w:type="dxa"/>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123,0</w:t>
            </w:r>
          </w:p>
        </w:tc>
      </w:tr>
      <w:tr w:rsidR="00CF0298" w:rsidRPr="0035449E" w:rsidTr="00CF0298">
        <w:trPr>
          <w:trHeight w:val="447"/>
        </w:trPr>
        <w:tc>
          <w:tcPr>
            <w:tcW w:w="2376" w:type="dxa"/>
            <w:vAlign w:val="center"/>
          </w:tcPr>
          <w:p w:rsidR="00CF0298" w:rsidRPr="0035449E" w:rsidRDefault="00CF0298" w:rsidP="002C07E9">
            <w:pPr>
              <w:pStyle w:val="KeinLeerraum"/>
              <w:rPr>
                <w:rFonts w:asciiTheme="minorHAnsi" w:hAnsiTheme="minorHAnsi"/>
              </w:rPr>
            </w:pPr>
            <w:r>
              <w:rPr>
                <w:rFonts w:asciiTheme="minorHAnsi" w:hAnsiTheme="minorHAnsi"/>
              </w:rPr>
              <w:t>EBITA</w:t>
            </w:r>
          </w:p>
        </w:tc>
        <w:tc>
          <w:tcPr>
            <w:tcW w:w="851" w:type="dxa"/>
            <w:vAlign w:val="center"/>
          </w:tcPr>
          <w:p w:rsidR="00CF0298" w:rsidRPr="0035449E" w:rsidRDefault="00CF0298" w:rsidP="002C07E9">
            <w:pPr>
              <w:pStyle w:val="KeinLeerraum"/>
              <w:rPr>
                <w:rFonts w:asciiTheme="minorHAnsi" w:hAnsiTheme="minorHAnsi"/>
              </w:rPr>
            </w:pPr>
            <w:r>
              <w:rPr>
                <w:rFonts w:asciiTheme="minorHAnsi" w:hAnsiTheme="minorHAnsi"/>
              </w:rPr>
              <w:t>Mio. €</w:t>
            </w:r>
          </w:p>
        </w:tc>
        <w:tc>
          <w:tcPr>
            <w:tcW w:w="1091" w:type="dxa"/>
            <w:shd w:val="clear" w:color="auto" w:fill="BFBFBF"/>
            <w:vAlign w:val="center"/>
          </w:tcPr>
          <w:p w:rsidR="00CF0298" w:rsidRDefault="00CF0298" w:rsidP="002C07E9">
            <w:pPr>
              <w:pStyle w:val="KeinLeerraum"/>
              <w:jc w:val="right"/>
              <w:rPr>
                <w:rFonts w:asciiTheme="minorHAnsi" w:hAnsiTheme="minorHAnsi"/>
                <w:b/>
              </w:rPr>
            </w:pPr>
            <w:r>
              <w:rPr>
                <w:rFonts w:asciiTheme="minorHAnsi" w:hAnsiTheme="minorHAnsi"/>
                <w:b/>
              </w:rPr>
              <w:t>-</w:t>
            </w:r>
            <w:r w:rsidR="00F0294B">
              <w:rPr>
                <w:rFonts w:asciiTheme="minorHAnsi" w:hAnsiTheme="minorHAnsi"/>
                <w:b/>
              </w:rPr>
              <w:t>27,2</w:t>
            </w:r>
          </w:p>
        </w:tc>
        <w:tc>
          <w:tcPr>
            <w:tcW w:w="1146" w:type="dxa"/>
            <w:vAlign w:val="center"/>
          </w:tcPr>
          <w:p w:rsidR="00CF0298" w:rsidRDefault="00CF0298" w:rsidP="002C07E9">
            <w:pPr>
              <w:pStyle w:val="KeinLeerraum"/>
              <w:jc w:val="right"/>
              <w:rPr>
                <w:rFonts w:asciiTheme="minorHAnsi" w:hAnsiTheme="minorHAnsi"/>
                <w:b/>
              </w:rPr>
            </w:pPr>
            <w:r>
              <w:rPr>
                <w:rFonts w:asciiTheme="minorHAnsi" w:hAnsiTheme="minorHAnsi"/>
                <w:b/>
              </w:rPr>
              <w:t>101,1</w:t>
            </w:r>
          </w:p>
        </w:tc>
      </w:tr>
      <w:tr w:rsidR="00CF0298" w:rsidRPr="0035449E" w:rsidTr="00CF0298">
        <w:trPr>
          <w:trHeight w:val="447"/>
        </w:trPr>
        <w:tc>
          <w:tcPr>
            <w:tcW w:w="2376"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EBIT</w:t>
            </w:r>
          </w:p>
        </w:tc>
        <w:tc>
          <w:tcPr>
            <w:tcW w:w="851"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Mio. €</w:t>
            </w:r>
          </w:p>
        </w:tc>
        <w:tc>
          <w:tcPr>
            <w:tcW w:w="1091" w:type="dxa"/>
            <w:shd w:val="clear" w:color="auto" w:fill="BFBFBF"/>
            <w:vAlign w:val="center"/>
          </w:tcPr>
          <w:p w:rsidR="00CF0298" w:rsidRPr="0035449E" w:rsidRDefault="00F0294B" w:rsidP="00F0294B">
            <w:pPr>
              <w:pStyle w:val="KeinLeerraum"/>
              <w:jc w:val="right"/>
              <w:rPr>
                <w:rFonts w:asciiTheme="minorHAnsi" w:hAnsiTheme="minorHAnsi"/>
                <w:b/>
              </w:rPr>
            </w:pPr>
            <w:r>
              <w:rPr>
                <w:rFonts w:asciiTheme="minorHAnsi" w:hAnsiTheme="minorHAnsi"/>
                <w:b/>
              </w:rPr>
              <w:t>-27,7</w:t>
            </w:r>
          </w:p>
        </w:tc>
        <w:tc>
          <w:tcPr>
            <w:tcW w:w="1146" w:type="dxa"/>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98,3</w:t>
            </w:r>
          </w:p>
        </w:tc>
      </w:tr>
      <w:tr w:rsidR="00CF0298" w:rsidRPr="0035449E" w:rsidTr="00CF0298">
        <w:trPr>
          <w:trHeight w:val="447"/>
        </w:trPr>
        <w:tc>
          <w:tcPr>
            <w:tcW w:w="2376"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EBT</w:t>
            </w:r>
          </w:p>
        </w:tc>
        <w:tc>
          <w:tcPr>
            <w:tcW w:w="851"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Mio. €</w:t>
            </w:r>
          </w:p>
        </w:tc>
        <w:tc>
          <w:tcPr>
            <w:tcW w:w="1091" w:type="dxa"/>
            <w:shd w:val="clear" w:color="auto" w:fill="BFBFBF"/>
            <w:vAlign w:val="center"/>
          </w:tcPr>
          <w:p w:rsidR="00CF0298" w:rsidRPr="0035449E" w:rsidRDefault="00F0294B" w:rsidP="002C07E9">
            <w:pPr>
              <w:pStyle w:val="KeinLeerraum"/>
              <w:jc w:val="right"/>
              <w:rPr>
                <w:rFonts w:asciiTheme="minorHAnsi" w:hAnsiTheme="minorHAnsi"/>
                <w:b/>
              </w:rPr>
            </w:pPr>
            <w:r>
              <w:rPr>
                <w:rFonts w:asciiTheme="minorHAnsi" w:hAnsiTheme="minorHAnsi"/>
                <w:b/>
              </w:rPr>
              <w:t>-28,9</w:t>
            </w:r>
          </w:p>
        </w:tc>
        <w:tc>
          <w:tcPr>
            <w:tcW w:w="1146" w:type="dxa"/>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89,7</w:t>
            </w:r>
          </w:p>
        </w:tc>
      </w:tr>
      <w:tr w:rsidR="00CF0298" w:rsidRPr="0035449E" w:rsidTr="00CF0298">
        <w:trPr>
          <w:trHeight w:val="447"/>
        </w:trPr>
        <w:tc>
          <w:tcPr>
            <w:tcW w:w="2376"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Konzernergebnis</w:t>
            </w:r>
          </w:p>
        </w:tc>
        <w:tc>
          <w:tcPr>
            <w:tcW w:w="851"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Mio. €</w:t>
            </w:r>
          </w:p>
        </w:tc>
        <w:tc>
          <w:tcPr>
            <w:tcW w:w="1091" w:type="dxa"/>
            <w:shd w:val="clear" w:color="auto" w:fill="BFBFBF"/>
            <w:vAlign w:val="center"/>
          </w:tcPr>
          <w:p w:rsidR="00CF0298" w:rsidRPr="0035449E" w:rsidRDefault="00F0294B" w:rsidP="002C07E9">
            <w:pPr>
              <w:pStyle w:val="KeinLeerraum"/>
              <w:jc w:val="right"/>
              <w:rPr>
                <w:rFonts w:asciiTheme="minorHAnsi" w:hAnsiTheme="minorHAnsi"/>
                <w:b/>
              </w:rPr>
            </w:pPr>
            <w:r>
              <w:rPr>
                <w:rFonts w:asciiTheme="minorHAnsi" w:hAnsiTheme="minorHAnsi"/>
                <w:b/>
              </w:rPr>
              <w:t>-25,0</w:t>
            </w:r>
          </w:p>
        </w:tc>
        <w:tc>
          <w:tcPr>
            <w:tcW w:w="1146" w:type="dxa"/>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61,7</w:t>
            </w:r>
          </w:p>
        </w:tc>
      </w:tr>
      <w:tr w:rsidR="00CF0298" w:rsidRPr="0035449E" w:rsidTr="00CF0298">
        <w:trPr>
          <w:trHeight w:val="447"/>
        </w:trPr>
        <w:tc>
          <w:tcPr>
            <w:tcW w:w="2376"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 xml:space="preserve">Eigenkapital </w:t>
            </w:r>
            <w:r w:rsidRPr="0035449E">
              <w:rPr>
                <w:rFonts w:asciiTheme="minorHAnsi" w:hAnsiTheme="minorHAnsi"/>
                <w:vertAlign w:val="superscript"/>
              </w:rPr>
              <w:t>1</w:t>
            </w:r>
          </w:p>
        </w:tc>
        <w:tc>
          <w:tcPr>
            <w:tcW w:w="851"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 xml:space="preserve">Mio. € </w:t>
            </w:r>
          </w:p>
        </w:tc>
        <w:tc>
          <w:tcPr>
            <w:tcW w:w="1091" w:type="dxa"/>
            <w:shd w:val="clear" w:color="auto" w:fill="BFBFBF"/>
            <w:vAlign w:val="center"/>
          </w:tcPr>
          <w:p w:rsidR="00CF0298" w:rsidRPr="0035449E" w:rsidRDefault="00F0294B" w:rsidP="002C07E9">
            <w:pPr>
              <w:pStyle w:val="KeinLeerraum"/>
              <w:jc w:val="right"/>
              <w:rPr>
                <w:rFonts w:asciiTheme="minorHAnsi" w:hAnsiTheme="minorHAnsi"/>
                <w:b/>
              </w:rPr>
            </w:pPr>
            <w:r>
              <w:rPr>
                <w:rFonts w:asciiTheme="minorHAnsi" w:hAnsiTheme="minorHAnsi"/>
                <w:b/>
              </w:rPr>
              <w:t>274,7</w:t>
            </w:r>
          </w:p>
        </w:tc>
        <w:tc>
          <w:tcPr>
            <w:tcW w:w="1146" w:type="dxa"/>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302,0</w:t>
            </w:r>
          </w:p>
        </w:tc>
      </w:tr>
      <w:tr w:rsidR="00CF0298" w:rsidRPr="0035449E" w:rsidTr="00CF0298">
        <w:trPr>
          <w:trHeight w:val="447"/>
        </w:trPr>
        <w:tc>
          <w:tcPr>
            <w:tcW w:w="2376"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 xml:space="preserve">Eigenkapitalquote </w:t>
            </w:r>
            <w:r w:rsidRPr="0035449E">
              <w:rPr>
                <w:rFonts w:asciiTheme="minorHAnsi" w:hAnsiTheme="minorHAnsi"/>
                <w:vertAlign w:val="superscript"/>
              </w:rPr>
              <w:t>1</w:t>
            </w:r>
          </w:p>
        </w:tc>
        <w:tc>
          <w:tcPr>
            <w:tcW w:w="851" w:type="dxa"/>
            <w:vAlign w:val="center"/>
          </w:tcPr>
          <w:p w:rsidR="00CF0298" w:rsidRPr="0035449E" w:rsidRDefault="00CF0298" w:rsidP="002C07E9">
            <w:pPr>
              <w:pStyle w:val="KeinLeerraum"/>
              <w:rPr>
                <w:rFonts w:asciiTheme="minorHAnsi" w:hAnsiTheme="minorHAnsi"/>
              </w:rPr>
            </w:pPr>
            <w:r w:rsidRPr="0035449E">
              <w:rPr>
                <w:rFonts w:asciiTheme="minorHAnsi" w:hAnsiTheme="minorHAnsi"/>
              </w:rPr>
              <w:t>%</w:t>
            </w:r>
          </w:p>
        </w:tc>
        <w:tc>
          <w:tcPr>
            <w:tcW w:w="1091" w:type="dxa"/>
            <w:shd w:val="clear" w:color="auto" w:fill="BFBFBF"/>
            <w:vAlign w:val="center"/>
          </w:tcPr>
          <w:p w:rsidR="00CF0298" w:rsidRPr="0035449E" w:rsidRDefault="00F0294B" w:rsidP="002C07E9">
            <w:pPr>
              <w:pStyle w:val="KeinLeerraum"/>
              <w:jc w:val="right"/>
              <w:rPr>
                <w:rFonts w:asciiTheme="minorHAnsi" w:hAnsiTheme="minorHAnsi"/>
                <w:b/>
              </w:rPr>
            </w:pPr>
            <w:r>
              <w:rPr>
                <w:rFonts w:asciiTheme="minorHAnsi" w:hAnsiTheme="minorHAnsi"/>
                <w:b/>
              </w:rPr>
              <w:t>27,1</w:t>
            </w:r>
          </w:p>
        </w:tc>
        <w:tc>
          <w:tcPr>
            <w:tcW w:w="1146" w:type="dxa"/>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30,3</w:t>
            </w:r>
          </w:p>
        </w:tc>
      </w:tr>
      <w:tr w:rsidR="00CF0298" w:rsidRPr="0035449E" w:rsidTr="00CF0298">
        <w:trPr>
          <w:trHeight w:val="447"/>
        </w:trPr>
        <w:tc>
          <w:tcPr>
            <w:tcW w:w="2376" w:type="dxa"/>
            <w:tcBorders>
              <w:bottom w:val="single" w:sz="18" w:space="0" w:color="auto"/>
            </w:tcBorders>
            <w:vAlign w:val="center"/>
          </w:tcPr>
          <w:p w:rsidR="00CF0298" w:rsidRPr="0035449E" w:rsidRDefault="00CF0298" w:rsidP="002C07E9">
            <w:pPr>
              <w:pStyle w:val="KeinLeerraum"/>
              <w:rPr>
                <w:rFonts w:asciiTheme="minorHAnsi" w:hAnsiTheme="minorHAnsi"/>
              </w:rPr>
            </w:pPr>
            <w:r w:rsidRPr="0035449E">
              <w:rPr>
                <w:rFonts w:asciiTheme="minorHAnsi" w:hAnsiTheme="minorHAnsi"/>
              </w:rPr>
              <w:t xml:space="preserve">Mitarbeiter </w:t>
            </w:r>
            <w:r w:rsidRPr="0035449E">
              <w:rPr>
                <w:rFonts w:asciiTheme="minorHAnsi" w:hAnsiTheme="minorHAnsi"/>
                <w:vertAlign w:val="superscript"/>
              </w:rPr>
              <w:t>1,2</w:t>
            </w:r>
          </w:p>
        </w:tc>
        <w:tc>
          <w:tcPr>
            <w:tcW w:w="851" w:type="dxa"/>
            <w:tcBorders>
              <w:bottom w:val="single" w:sz="18" w:space="0" w:color="auto"/>
            </w:tcBorders>
            <w:vAlign w:val="center"/>
          </w:tcPr>
          <w:p w:rsidR="00CF0298" w:rsidRPr="0035449E" w:rsidRDefault="00CF0298" w:rsidP="002C07E9">
            <w:pPr>
              <w:pStyle w:val="KeinLeerraum"/>
              <w:rPr>
                <w:rFonts w:asciiTheme="minorHAnsi" w:hAnsiTheme="minorHAnsi"/>
              </w:rPr>
            </w:pPr>
          </w:p>
        </w:tc>
        <w:tc>
          <w:tcPr>
            <w:tcW w:w="1091" w:type="dxa"/>
            <w:tcBorders>
              <w:bottom w:val="single" w:sz="18" w:space="0" w:color="auto"/>
            </w:tcBorders>
            <w:shd w:val="clear" w:color="auto" w:fill="BFBFBF"/>
            <w:vAlign w:val="center"/>
          </w:tcPr>
          <w:p w:rsidR="00CF0298" w:rsidRPr="0035449E" w:rsidRDefault="00F0294B" w:rsidP="002C07E9">
            <w:pPr>
              <w:pStyle w:val="KeinLeerraum"/>
              <w:jc w:val="right"/>
              <w:rPr>
                <w:rFonts w:asciiTheme="minorHAnsi" w:hAnsiTheme="minorHAnsi"/>
                <w:b/>
              </w:rPr>
            </w:pPr>
            <w:r>
              <w:rPr>
                <w:rFonts w:asciiTheme="minorHAnsi" w:hAnsiTheme="minorHAnsi"/>
                <w:b/>
              </w:rPr>
              <w:t>5.571</w:t>
            </w:r>
          </w:p>
        </w:tc>
        <w:tc>
          <w:tcPr>
            <w:tcW w:w="1146" w:type="dxa"/>
            <w:tcBorders>
              <w:bottom w:val="single" w:sz="18" w:space="0" w:color="auto"/>
            </w:tcBorders>
            <w:vAlign w:val="center"/>
          </w:tcPr>
          <w:p w:rsidR="00CF0298" w:rsidRPr="0035449E" w:rsidRDefault="00CF0298" w:rsidP="002C07E9">
            <w:pPr>
              <w:pStyle w:val="KeinLeerraum"/>
              <w:jc w:val="right"/>
              <w:rPr>
                <w:rFonts w:asciiTheme="minorHAnsi" w:hAnsiTheme="minorHAnsi"/>
                <w:b/>
              </w:rPr>
            </w:pPr>
            <w:r>
              <w:rPr>
                <w:rFonts w:asciiTheme="minorHAnsi" w:hAnsiTheme="minorHAnsi"/>
                <w:b/>
              </w:rPr>
              <w:t>5.580</w:t>
            </w:r>
          </w:p>
        </w:tc>
      </w:tr>
    </w:tbl>
    <w:p w:rsidR="00CF0298" w:rsidRDefault="00CF0298" w:rsidP="00CF0298">
      <w:pPr>
        <w:spacing w:before="120"/>
        <w:rPr>
          <w:rFonts w:asciiTheme="minorHAnsi" w:hAnsiTheme="minorHAnsi"/>
          <w:sz w:val="20"/>
        </w:rPr>
      </w:pPr>
      <w:r w:rsidRPr="0035449E">
        <w:rPr>
          <w:rFonts w:asciiTheme="minorHAnsi" w:hAnsiTheme="minorHAnsi"/>
          <w:sz w:val="20"/>
          <w:vertAlign w:val="superscript"/>
        </w:rPr>
        <w:t xml:space="preserve">1 </w:t>
      </w:r>
      <w:r w:rsidRPr="0035449E">
        <w:rPr>
          <w:rFonts w:asciiTheme="minorHAnsi" w:hAnsiTheme="minorHAnsi"/>
          <w:sz w:val="20"/>
        </w:rPr>
        <w:t>Zum Ende des Geschäftsjahres</w:t>
      </w:r>
      <w:r>
        <w:rPr>
          <w:rFonts w:asciiTheme="minorHAnsi" w:hAnsiTheme="minorHAnsi"/>
          <w:sz w:val="20"/>
        </w:rPr>
        <w:t xml:space="preserve"> </w:t>
      </w:r>
      <w:r w:rsidRPr="0035449E">
        <w:rPr>
          <w:rFonts w:asciiTheme="minorHAnsi" w:hAnsiTheme="minorHAnsi"/>
          <w:sz w:val="20"/>
        </w:rPr>
        <w:t>30.09.</w:t>
      </w:r>
      <w:r>
        <w:rPr>
          <w:rFonts w:asciiTheme="minorHAnsi" w:hAnsiTheme="minorHAnsi"/>
          <w:sz w:val="20"/>
        </w:rPr>
        <w:t xml:space="preserve">2013 bzw. 31.12.2013 </w:t>
      </w:r>
    </w:p>
    <w:p w:rsidR="00E47A5F" w:rsidRDefault="00CF0298" w:rsidP="00F76E2E">
      <w:pPr>
        <w:rPr>
          <w:rFonts w:asciiTheme="minorHAnsi" w:hAnsiTheme="minorHAnsi"/>
        </w:rPr>
      </w:pPr>
      <w:r w:rsidRPr="0035449E">
        <w:rPr>
          <w:rFonts w:asciiTheme="minorHAnsi" w:hAnsiTheme="minorHAnsi"/>
          <w:sz w:val="20"/>
          <w:vertAlign w:val="superscript"/>
        </w:rPr>
        <w:t>2</w:t>
      </w:r>
      <w:r w:rsidRPr="0035449E">
        <w:rPr>
          <w:rFonts w:asciiTheme="minorHAnsi" w:hAnsiTheme="minorHAnsi"/>
          <w:sz w:val="20"/>
        </w:rPr>
        <w:t xml:space="preserve"> Inklusive Auszubildende</w:t>
      </w:r>
      <w:r>
        <w:rPr>
          <w:rFonts w:asciiTheme="minorHAnsi" w:hAnsiTheme="minorHAnsi"/>
          <w:sz w:val="20"/>
        </w:rPr>
        <w:br/>
      </w:r>
      <w:r w:rsidRPr="0035449E">
        <w:rPr>
          <w:rFonts w:asciiTheme="minorHAnsi" w:hAnsiTheme="minorHAnsi"/>
          <w:sz w:val="20"/>
        </w:rPr>
        <w:br/>
      </w:r>
    </w:p>
    <w:p w:rsidR="00F76E2E" w:rsidRDefault="00CF0298" w:rsidP="00F76E2E">
      <w:pPr>
        <w:rPr>
          <w:rFonts w:ascii="Arial" w:hAnsi="Arial" w:cs="Arial"/>
          <w:color w:val="1C3C82"/>
          <w:sz w:val="20"/>
          <w:szCs w:val="20"/>
        </w:rPr>
      </w:pPr>
      <w:r w:rsidRPr="006560BC">
        <w:rPr>
          <w:rFonts w:asciiTheme="minorHAnsi" w:hAnsiTheme="minorHAnsi"/>
        </w:rPr>
        <w:t xml:space="preserve">Den </w:t>
      </w:r>
      <w:r w:rsidR="00E47A5F" w:rsidRPr="00E47A5F">
        <w:rPr>
          <w:rFonts w:asciiTheme="minorHAnsi" w:hAnsiTheme="minorHAnsi"/>
        </w:rPr>
        <w:t>Geschäftsbericht Rumpfgeschäftsjahr 2013 einschl</w:t>
      </w:r>
      <w:r w:rsidR="00E47A5F">
        <w:rPr>
          <w:rFonts w:asciiTheme="minorHAnsi" w:hAnsiTheme="minorHAnsi"/>
        </w:rPr>
        <w:t xml:space="preserve">ießlich </w:t>
      </w:r>
      <w:r w:rsidR="00E47A5F" w:rsidRPr="00E47A5F">
        <w:rPr>
          <w:rFonts w:asciiTheme="minorHAnsi" w:hAnsiTheme="minorHAnsi"/>
        </w:rPr>
        <w:t xml:space="preserve"> Konzernabschluss der Schuler AG (IFRS)</w:t>
      </w:r>
      <w:r w:rsidR="00E47A5F">
        <w:rPr>
          <w:rFonts w:asciiTheme="minorHAnsi" w:hAnsiTheme="minorHAnsi"/>
        </w:rPr>
        <w:t xml:space="preserve"> </w:t>
      </w:r>
      <w:r w:rsidRPr="006560BC">
        <w:rPr>
          <w:rFonts w:asciiTheme="minorHAnsi" w:hAnsiTheme="minorHAnsi"/>
        </w:rPr>
        <w:t>finden Sie</w:t>
      </w:r>
      <w:r w:rsidR="00E47A5F">
        <w:rPr>
          <w:rFonts w:asciiTheme="minorHAnsi" w:hAnsiTheme="minorHAnsi"/>
        </w:rPr>
        <w:t xml:space="preserve"> </w:t>
      </w:r>
      <w:r w:rsidR="004579F1">
        <w:rPr>
          <w:rFonts w:asciiTheme="minorHAnsi" w:hAnsiTheme="minorHAnsi"/>
        </w:rPr>
        <w:t>online</w:t>
      </w:r>
      <w:bookmarkStart w:id="0" w:name="_GoBack"/>
      <w:bookmarkEnd w:id="0"/>
      <w:r w:rsidRPr="006560BC">
        <w:rPr>
          <w:rFonts w:asciiTheme="minorHAnsi" w:hAnsiTheme="minorHAnsi"/>
        </w:rPr>
        <w:t xml:space="preserve"> unter</w:t>
      </w:r>
      <w:r>
        <w:rPr>
          <w:rFonts w:asciiTheme="minorHAnsi" w:hAnsiTheme="minorHAnsi"/>
        </w:rPr>
        <w:t xml:space="preserve"> (bitte Link kopieren)</w:t>
      </w:r>
      <w:r w:rsidRPr="006560BC">
        <w:rPr>
          <w:rFonts w:asciiTheme="minorHAnsi" w:hAnsiTheme="minorHAnsi"/>
        </w:rPr>
        <w:t xml:space="preserve">: </w:t>
      </w:r>
      <w:hyperlink r:id="rId11" w:history="1">
        <w:r w:rsidR="00F76E2E">
          <w:rPr>
            <w:rStyle w:val="Hyperlink"/>
            <w:rFonts w:ascii="Arial" w:hAnsi="Arial" w:cs="Arial"/>
            <w:sz w:val="20"/>
            <w:szCs w:val="20"/>
          </w:rPr>
          <w:t>http://ir2.flife.de/data/schuler_ag/igb_html/index.php?bericht_id=1000010&amp;lang=DEU</w:t>
        </w:r>
      </w:hyperlink>
      <w:r w:rsidR="00F76E2E">
        <w:rPr>
          <w:rFonts w:ascii="Arial" w:hAnsi="Arial" w:cs="Arial"/>
          <w:color w:val="1C3C82"/>
          <w:sz w:val="20"/>
          <w:szCs w:val="20"/>
        </w:rPr>
        <w:t xml:space="preserve"> </w:t>
      </w:r>
    </w:p>
    <w:p w:rsidR="00E47A5F" w:rsidRDefault="00E47A5F" w:rsidP="00CF0298">
      <w:pPr>
        <w:rPr>
          <w:rFonts w:asciiTheme="minorHAnsi" w:hAnsiTheme="minorHAnsi"/>
        </w:rPr>
      </w:pPr>
    </w:p>
    <w:p w:rsidR="00E47A5F" w:rsidRDefault="00E47A5F">
      <w:pPr>
        <w:spacing w:line="240" w:lineRule="auto"/>
        <w:rPr>
          <w:rFonts w:asciiTheme="minorHAnsi" w:hAnsiTheme="minorHAnsi"/>
        </w:rPr>
      </w:pPr>
      <w:r>
        <w:rPr>
          <w:rFonts w:asciiTheme="minorHAnsi" w:hAnsiTheme="minorHAnsi"/>
        </w:rPr>
        <w:br w:type="page"/>
      </w:r>
    </w:p>
    <w:p w:rsidR="00E47A5F" w:rsidRPr="00AF64B9" w:rsidRDefault="00E47A5F" w:rsidP="00E47A5F">
      <w:pPr>
        <w:ind w:right="-15"/>
        <w:outlineLvl w:val="0"/>
        <w:rPr>
          <w:rFonts w:cs="Arial"/>
        </w:rPr>
      </w:pPr>
    </w:p>
    <w:p w:rsidR="00E47A5F" w:rsidRPr="00AF64B9" w:rsidRDefault="00E47A5F" w:rsidP="00E47A5F">
      <w:pPr>
        <w:pBdr>
          <w:top w:val="single" w:sz="4" w:space="1" w:color="auto"/>
        </w:pBdr>
        <w:spacing w:line="240" w:lineRule="auto"/>
        <w:jc w:val="both"/>
      </w:pPr>
    </w:p>
    <w:p w:rsidR="00E47A5F" w:rsidRDefault="00E47A5F" w:rsidP="00CF0298">
      <w:pPr>
        <w:rPr>
          <w:rFonts w:asciiTheme="minorHAnsi" w:hAnsiTheme="minorHAnsi"/>
        </w:rPr>
      </w:pPr>
    </w:p>
    <w:p w:rsidR="00CF0298" w:rsidRPr="006560BC" w:rsidRDefault="00CF0298" w:rsidP="00CF0298">
      <w:pPr>
        <w:rPr>
          <w:rFonts w:asciiTheme="minorHAnsi" w:hAnsiTheme="minorHAnsi"/>
        </w:rPr>
      </w:pPr>
      <w:r w:rsidRPr="006560BC">
        <w:rPr>
          <w:rFonts w:asciiTheme="minorHAnsi" w:hAnsiTheme="minorHAnsi"/>
        </w:rPr>
        <w:t xml:space="preserve">Zu dieser Pressemitteilung finden Sie alle Bilder und Dokumente zum Download im Internet unter </w:t>
      </w:r>
      <w:hyperlink r:id="rId12" w:history="1">
        <w:r w:rsidRPr="006560BC">
          <w:rPr>
            <w:rStyle w:val="Hyperlink"/>
            <w:rFonts w:asciiTheme="minorHAnsi" w:hAnsiTheme="minorHAnsi"/>
          </w:rPr>
          <w:t>www.schulergroup.com/pr</w:t>
        </w:r>
      </w:hyperlink>
    </w:p>
    <w:p w:rsidR="007E1606" w:rsidRDefault="007E1606" w:rsidP="000E228F">
      <w:pPr>
        <w:pStyle w:val="berschrift3"/>
      </w:pPr>
      <w:r>
        <w:t>Bildunterschriften</w:t>
      </w:r>
    </w:p>
    <w:p w:rsidR="00C82B81" w:rsidRDefault="007E1606" w:rsidP="007E1606">
      <w:r>
        <w:t xml:space="preserve">Bild1.jpg: </w:t>
      </w:r>
      <w:r w:rsidR="00F76E2E">
        <w:t xml:space="preserve">Auf Schuler-Pressen entstehen </w:t>
      </w:r>
      <w:r w:rsidR="00C707C6">
        <w:t>Carbon-</w:t>
      </w:r>
      <w:r w:rsidR="00F76E2E">
        <w:t xml:space="preserve">Teile für </w:t>
      </w:r>
      <w:r w:rsidR="00C707C6">
        <w:t xml:space="preserve">das </w:t>
      </w:r>
      <w:r w:rsidR="00F76E2E">
        <w:t xml:space="preserve">neue </w:t>
      </w:r>
      <w:r w:rsidR="00C707C6">
        <w:t xml:space="preserve">Elektroauto </w:t>
      </w:r>
      <w:r w:rsidR="00F76E2E">
        <w:t>BMW i3</w:t>
      </w:r>
    </w:p>
    <w:p w:rsidR="000C6B66" w:rsidRDefault="007E1606" w:rsidP="000C6B66">
      <w:r>
        <w:t xml:space="preserve">Bild2.jpg: </w:t>
      </w:r>
      <w:r w:rsidR="000C6B66">
        <w:t>Als Teil eines neuen Fünf-Jahres-Vertrags erhielt Schuler von</w:t>
      </w:r>
    </w:p>
    <w:p w:rsidR="005833D5" w:rsidRDefault="000C6B66" w:rsidP="000C6B66">
      <w:r>
        <w:t>der US-Münze den Auftrag über neun Münzprägepressen.</w:t>
      </w:r>
    </w:p>
    <w:p w:rsidR="009B2577" w:rsidRDefault="009B2577" w:rsidP="007E1606"/>
    <w:p w:rsidR="005833D5" w:rsidRPr="005833D5" w:rsidRDefault="005833D5" w:rsidP="005833D5">
      <w:pPr>
        <w:rPr>
          <w:i/>
        </w:rPr>
      </w:pPr>
      <w:r w:rsidRPr="005833D5">
        <w:rPr>
          <w:i/>
        </w:rPr>
        <w:t>Als Bildquelle bitte Schuler angeben.</w:t>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3" w:history="1">
        <w:r w:rsidR="00671E3C" w:rsidRPr="00D808EA">
          <w:rPr>
            <w:rStyle w:val="Hyperlink"/>
            <w:b/>
            <w:i/>
          </w:rPr>
          <w:t>www.schulergroup.com</w:t>
        </w:r>
      </w:hyperlink>
    </w:p>
    <w:p w:rsidR="005833D5" w:rsidRPr="00C82B81" w:rsidRDefault="005833D5" w:rsidP="003F0681">
      <w:pPr>
        <w:spacing w:line="240" w:lineRule="auto"/>
        <w:ind w:right="-15"/>
        <w:jc w:val="both"/>
        <w:outlineLvl w:val="0"/>
        <w:rPr>
          <w:i/>
        </w:rPr>
      </w:pPr>
      <w:r w:rsidRPr="00AF64B9">
        <w:rPr>
          <w:i/>
        </w:rPr>
        <w:t>Schuler bietet als Technologie- und Weltmarktführer in der Umformtechnik Pressen, Automationslösungen, Werkzeuge, Prozesstechnologie und Service für die gesamte metallverarbeitende Industrie und den automobilen Leichtbau. Zu den Kunden gehören Automobilhersteller und</w:t>
      </w:r>
      <w:r w:rsidR="00403EFF">
        <w:rPr>
          <w:i/>
        </w:rPr>
        <w:br/>
        <w:t>-</w:t>
      </w:r>
      <w:r w:rsidRPr="00AF64B9">
        <w:rPr>
          <w:i/>
        </w:rPr>
        <w:t xml:space="preserve">zulieferer sowie Unternehmen aus der Schmiede-, Hausgeräte-, Verpackungs-, Energie- und Elektroindustrie. Schuler ist führend in der Münztechnik und realisiert Systemlösungen in der Luftfahrt-, Raumfahrt-, Eisenbahn- und Großrohrindustrie. </w:t>
      </w:r>
      <w:r w:rsidR="00C96DAD">
        <w:rPr>
          <w:i/>
        </w:rPr>
        <w:t xml:space="preserve">Der Konzern geht auf eine 1839 von Louis Schuler gegründete Schlosserei zurück und feiert 2014 sein 175-jähriges Bestehen. </w:t>
      </w:r>
      <w:r w:rsidRPr="00AF64B9">
        <w:rPr>
          <w:i/>
        </w:rPr>
        <w:t>Im Geschäftsjahr 2012/13 (30.09.) erzielte Schuler einen Umsatz von 1.185,9 Millionen Euro.</w:t>
      </w:r>
      <w:r w:rsidRPr="00AF64B9">
        <w:t xml:space="preserve"> </w:t>
      </w:r>
      <w:r w:rsidRPr="00AF64B9">
        <w:rPr>
          <w:i/>
        </w:rPr>
        <w:t>Weltweit sind rund 5.600 Mitarbeiter im Einsatz. Der Schuler-Konzern ist in 40 Ländern präsent und gehört mehrheitlich zur österreichischen ANDRITZ-Gruppe.</w:t>
      </w:r>
    </w:p>
    <w:sectPr w:rsidR="005833D5" w:rsidRPr="00C82B81"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916" w:rsidRDefault="00D90916" w:rsidP="007E132D">
      <w:r>
        <w:separator/>
      </w:r>
    </w:p>
    <w:p w:rsidR="00D90916" w:rsidRDefault="00D90916" w:rsidP="007E132D"/>
  </w:endnote>
  <w:endnote w:type="continuationSeparator" w:id="0">
    <w:p w:rsidR="00D90916" w:rsidRDefault="00D90916" w:rsidP="007E132D">
      <w:r>
        <w:continuationSeparator/>
      </w:r>
    </w:p>
    <w:p w:rsidR="00D90916" w:rsidRDefault="00D90916"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579F1">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4579F1">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579F1">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4579F1" w:rsidRPr="007E1606">
            <w:rPr>
              <w:rFonts w:eastAsia="Calibri"/>
              <w:noProof/>
            </w:rPr>
            <w:t xml:space="preserve">Seite </w:t>
          </w:r>
          <w:r w:rsidR="004579F1">
            <w:rPr>
              <w:rFonts w:eastAsia="Calibri"/>
              <w:noProof/>
            </w:rPr>
            <w:t>4</w:t>
          </w:r>
          <w:r w:rsidR="004579F1" w:rsidRPr="007E1606">
            <w:rPr>
              <w:rFonts w:eastAsia="Calibri"/>
              <w:noProof/>
            </w:rPr>
            <w:t xml:space="preserve"> von </w:t>
          </w:r>
          <w:r w:rsidR="004579F1">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916" w:rsidRDefault="00D90916" w:rsidP="007E132D">
      <w:r>
        <w:separator/>
      </w:r>
    </w:p>
    <w:p w:rsidR="00D90916" w:rsidRDefault="00D90916" w:rsidP="007E132D"/>
  </w:footnote>
  <w:footnote w:type="continuationSeparator" w:id="0">
    <w:p w:rsidR="00D90916" w:rsidRDefault="00D90916" w:rsidP="007E132D">
      <w:r>
        <w:continuationSeparator/>
      </w:r>
    </w:p>
    <w:p w:rsidR="00D90916" w:rsidRDefault="00D90916"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81B"/>
    <w:rsid w:val="00003CBE"/>
    <w:rsid w:val="00004C7F"/>
    <w:rsid w:val="00031750"/>
    <w:rsid w:val="00033BD2"/>
    <w:rsid w:val="0005543F"/>
    <w:rsid w:val="000716BA"/>
    <w:rsid w:val="00086F40"/>
    <w:rsid w:val="000A52A8"/>
    <w:rsid w:val="000B704A"/>
    <w:rsid w:val="000C0CAD"/>
    <w:rsid w:val="000C6B66"/>
    <w:rsid w:val="000E228F"/>
    <w:rsid w:val="000F2F77"/>
    <w:rsid w:val="00102187"/>
    <w:rsid w:val="00130A5F"/>
    <w:rsid w:val="00136218"/>
    <w:rsid w:val="00136E90"/>
    <w:rsid w:val="00152C69"/>
    <w:rsid w:val="001631E1"/>
    <w:rsid w:val="0016339C"/>
    <w:rsid w:val="0016495A"/>
    <w:rsid w:val="00173722"/>
    <w:rsid w:val="0017697C"/>
    <w:rsid w:val="001C1FA2"/>
    <w:rsid w:val="001C3EE2"/>
    <w:rsid w:val="001E0C3C"/>
    <w:rsid w:val="001F6280"/>
    <w:rsid w:val="002077B7"/>
    <w:rsid w:val="00212513"/>
    <w:rsid w:val="00215C8A"/>
    <w:rsid w:val="002315E0"/>
    <w:rsid w:val="0026662D"/>
    <w:rsid w:val="002712C2"/>
    <w:rsid w:val="002A1D04"/>
    <w:rsid w:val="002A3A54"/>
    <w:rsid w:val="002A42B6"/>
    <w:rsid w:val="002A4B0E"/>
    <w:rsid w:val="002B391B"/>
    <w:rsid w:val="002B41E8"/>
    <w:rsid w:val="003230D4"/>
    <w:rsid w:val="00323555"/>
    <w:rsid w:val="00363740"/>
    <w:rsid w:val="00365A9E"/>
    <w:rsid w:val="003728F6"/>
    <w:rsid w:val="00373C01"/>
    <w:rsid w:val="00377DED"/>
    <w:rsid w:val="00384FCC"/>
    <w:rsid w:val="003C626A"/>
    <w:rsid w:val="003D76C7"/>
    <w:rsid w:val="003E30C0"/>
    <w:rsid w:val="003F0681"/>
    <w:rsid w:val="003F6888"/>
    <w:rsid w:val="00403EFF"/>
    <w:rsid w:val="004355F7"/>
    <w:rsid w:val="00446E29"/>
    <w:rsid w:val="00450820"/>
    <w:rsid w:val="004579F1"/>
    <w:rsid w:val="00462686"/>
    <w:rsid w:val="00476782"/>
    <w:rsid w:val="00476D9C"/>
    <w:rsid w:val="00485C6B"/>
    <w:rsid w:val="004C4B30"/>
    <w:rsid w:val="004C697D"/>
    <w:rsid w:val="004D76DD"/>
    <w:rsid w:val="00523ACD"/>
    <w:rsid w:val="0052712A"/>
    <w:rsid w:val="00533491"/>
    <w:rsid w:val="00536C71"/>
    <w:rsid w:val="00552A9D"/>
    <w:rsid w:val="005547DF"/>
    <w:rsid w:val="0056768B"/>
    <w:rsid w:val="00575FA0"/>
    <w:rsid w:val="005833D5"/>
    <w:rsid w:val="00595D96"/>
    <w:rsid w:val="005B6DED"/>
    <w:rsid w:val="005C0B69"/>
    <w:rsid w:val="005C0BBB"/>
    <w:rsid w:val="005C6AE3"/>
    <w:rsid w:val="005F6D99"/>
    <w:rsid w:val="005F7D87"/>
    <w:rsid w:val="00601238"/>
    <w:rsid w:val="0060142A"/>
    <w:rsid w:val="00631D88"/>
    <w:rsid w:val="0065451D"/>
    <w:rsid w:val="00654B60"/>
    <w:rsid w:val="006560A0"/>
    <w:rsid w:val="00660D47"/>
    <w:rsid w:val="00671E3C"/>
    <w:rsid w:val="00674EF3"/>
    <w:rsid w:val="006813B8"/>
    <w:rsid w:val="0068251B"/>
    <w:rsid w:val="006848FF"/>
    <w:rsid w:val="00687868"/>
    <w:rsid w:val="006A31D9"/>
    <w:rsid w:val="006A659E"/>
    <w:rsid w:val="006A7F52"/>
    <w:rsid w:val="006C68B3"/>
    <w:rsid w:val="006D7242"/>
    <w:rsid w:val="00714E5C"/>
    <w:rsid w:val="0072042B"/>
    <w:rsid w:val="00733AAF"/>
    <w:rsid w:val="00777E50"/>
    <w:rsid w:val="007826E4"/>
    <w:rsid w:val="00784E5A"/>
    <w:rsid w:val="00794AEE"/>
    <w:rsid w:val="007B0BF4"/>
    <w:rsid w:val="007C16F5"/>
    <w:rsid w:val="007E132D"/>
    <w:rsid w:val="007E1606"/>
    <w:rsid w:val="007F4512"/>
    <w:rsid w:val="007F4D94"/>
    <w:rsid w:val="007F553D"/>
    <w:rsid w:val="007F6A34"/>
    <w:rsid w:val="00821B54"/>
    <w:rsid w:val="00821E5D"/>
    <w:rsid w:val="00822597"/>
    <w:rsid w:val="008258E8"/>
    <w:rsid w:val="008334D5"/>
    <w:rsid w:val="0085659E"/>
    <w:rsid w:val="00864F6A"/>
    <w:rsid w:val="00865B83"/>
    <w:rsid w:val="008718D2"/>
    <w:rsid w:val="0087295F"/>
    <w:rsid w:val="00876E6E"/>
    <w:rsid w:val="00877DC8"/>
    <w:rsid w:val="00894865"/>
    <w:rsid w:val="008B6E7C"/>
    <w:rsid w:val="008C6578"/>
    <w:rsid w:val="008D1374"/>
    <w:rsid w:val="008D67FA"/>
    <w:rsid w:val="008E1F8F"/>
    <w:rsid w:val="008F5E25"/>
    <w:rsid w:val="0090281B"/>
    <w:rsid w:val="009060ED"/>
    <w:rsid w:val="00920948"/>
    <w:rsid w:val="00926076"/>
    <w:rsid w:val="00941203"/>
    <w:rsid w:val="00955436"/>
    <w:rsid w:val="00961469"/>
    <w:rsid w:val="00975A13"/>
    <w:rsid w:val="009A680E"/>
    <w:rsid w:val="009B2577"/>
    <w:rsid w:val="009B3EB7"/>
    <w:rsid w:val="009B773E"/>
    <w:rsid w:val="009F65F3"/>
    <w:rsid w:val="00A0214C"/>
    <w:rsid w:val="00A31D72"/>
    <w:rsid w:val="00A32B85"/>
    <w:rsid w:val="00A46561"/>
    <w:rsid w:val="00A500A4"/>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762C9"/>
    <w:rsid w:val="00B8349C"/>
    <w:rsid w:val="00C4079B"/>
    <w:rsid w:val="00C707C6"/>
    <w:rsid w:val="00C72CD3"/>
    <w:rsid w:val="00C82B81"/>
    <w:rsid w:val="00C87449"/>
    <w:rsid w:val="00C96DAD"/>
    <w:rsid w:val="00CB2B5C"/>
    <w:rsid w:val="00CC7CCA"/>
    <w:rsid w:val="00CD3AA7"/>
    <w:rsid w:val="00CF0298"/>
    <w:rsid w:val="00D14566"/>
    <w:rsid w:val="00D15E35"/>
    <w:rsid w:val="00D16703"/>
    <w:rsid w:val="00D21B4B"/>
    <w:rsid w:val="00D36969"/>
    <w:rsid w:val="00D422B9"/>
    <w:rsid w:val="00D5679F"/>
    <w:rsid w:val="00D61308"/>
    <w:rsid w:val="00D76894"/>
    <w:rsid w:val="00D82AE7"/>
    <w:rsid w:val="00D8718A"/>
    <w:rsid w:val="00D90916"/>
    <w:rsid w:val="00DB3F3F"/>
    <w:rsid w:val="00DB73FC"/>
    <w:rsid w:val="00DC5C7D"/>
    <w:rsid w:val="00DD16C5"/>
    <w:rsid w:val="00DE35EB"/>
    <w:rsid w:val="00DE6930"/>
    <w:rsid w:val="00DF3F25"/>
    <w:rsid w:val="00E207BB"/>
    <w:rsid w:val="00E2304D"/>
    <w:rsid w:val="00E26828"/>
    <w:rsid w:val="00E3363B"/>
    <w:rsid w:val="00E36721"/>
    <w:rsid w:val="00E47A5F"/>
    <w:rsid w:val="00E5769E"/>
    <w:rsid w:val="00E6320B"/>
    <w:rsid w:val="00E85A97"/>
    <w:rsid w:val="00E90330"/>
    <w:rsid w:val="00E94A8B"/>
    <w:rsid w:val="00E94CAA"/>
    <w:rsid w:val="00EA0877"/>
    <w:rsid w:val="00EA7DC3"/>
    <w:rsid w:val="00EB12DA"/>
    <w:rsid w:val="00EB1C2E"/>
    <w:rsid w:val="00ED602C"/>
    <w:rsid w:val="00F0294B"/>
    <w:rsid w:val="00F23AAD"/>
    <w:rsid w:val="00F44765"/>
    <w:rsid w:val="00F5073A"/>
    <w:rsid w:val="00F654EB"/>
    <w:rsid w:val="00F67A9F"/>
    <w:rsid w:val="00F7676C"/>
    <w:rsid w:val="00F76E2E"/>
    <w:rsid w:val="00F918E2"/>
    <w:rsid w:val="00FD1AC7"/>
    <w:rsid w:val="00FE2FB7"/>
    <w:rsid w:val="00FF6D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KeinLeerraum">
    <w:name w:val="No Spacing"/>
    <w:basedOn w:val="Standard"/>
    <w:uiPriority w:val="1"/>
    <w:qFormat/>
    <w:rsid w:val="00CF0298"/>
    <w:pPr>
      <w:spacing w:line="240" w:lineRule="auto"/>
    </w:pPr>
    <w:rPr>
      <w:rFonts w:ascii="Schuler DIN Offc Pro" w:hAnsi="Schuler DIN Offc Pro"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KeinLeerraum">
    <w:name w:val="No Spacing"/>
    <w:basedOn w:val="Standard"/>
    <w:uiPriority w:val="1"/>
    <w:qFormat/>
    <w:rsid w:val="00CF0298"/>
    <w:pPr>
      <w:spacing w:line="240" w:lineRule="auto"/>
    </w:pPr>
    <w:rPr>
      <w:rFonts w:ascii="Schuler DIN Offc Pro" w:hAnsi="Schuler DIN Offc Pro"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1454">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06257499">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2477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hulergroup.com/p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r2.flife.de/data/schuler_ag/igb_html/index.php?bericht_id=1000010&amp;lang=D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chulergroup.com/p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go.Schnaitmann@schulergroup.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M:\DATEN\GP\CC\Vorlagen\PM%20Vorlagen\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593C8-8483-4381-A817-98F3B3CDE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530</Words>
  <Characters>4113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4634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Ingo Schnaitmann</cp:lastModifiedBy>
  <cp:revision>9</cp:revision>
  <cp:lastPrinted>2014-02-25T07:37:00Z</cp:lastPrinted>
  <dcterms:created xsi:type="dcterms:W3CDTF">2014-02-24T10:38:00Z</dcterms:created>
  <dcterms:modified xsi:type="dcterms:W3CDTF">2014-02-26T08:48:00Z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